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F6CF" w14:textId="77777777" w:rsidR="006665B2" w:rsidRDefault="006665B2">
      <w:pPr>
        <w:tabs>
          <w:tab w:val="left" w:leader="underscore" w:pos="9639"/>
        </w:tabs>
        <w:spacing w:after="0" w:line="240" w:lineRule="auto"/>
        <w:ind w:left="9639" w:hanging="9639"/>
        <w:jc w:val="both"/>
        <w:rPr>
          <w:rFonts w:asciiTheme="minorHAnsi" w:hAnsiTheme="minorHAnsi"/>
        </w:rPr>
      </w:pPr>
    </w:p>
    <w:p w14:paraId="2D8F5C36" w14:textId="77777777" w:rsidR="006665B2" w:rsidRDefault="009B06B1">
      <w:pPr>
        <w:tabs>
          <w:tab w:val="left" w:leader="underscore" w:pos="9639"/>
        </w:tabs>
        <w:spacing w:after="0" w:line="240" w:lineRule="auto"/>
        <w:jc w:val="center"/>
        <w:rPr>
          <w:rFonts w:asciiTheme="minorHAnsi" w:hAnsiTheme="minorHAnsi" w:cs="Calibri"/>
          <w:b/>
        </w:rPr>
      </w:pPr>
      <w:hyperlink r:id="rId11" w:history="1">
        <w:r>
          <w:rPr>
            <w:rStyle w:val="Hipervnculo"/>
            <w:rFonts w:asciiTheme="minorHAnsi" w:hAnsiTheme="minorHAnsi" w:cs="Calibri"/>
            <w:b/>
          </w:rPr>
          <w:t>NOTAS DE GESTIÓN ADMINISTRATIVA</w:t>
        </w:r>
      </w:hyperlink>
    </w:p>
    <w:p w14:paraId="6FD14494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06-12-2022</w:t>
      </w:r>
    </w:p>
    <w:p w14:paraId="4A40CE1D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32FFB30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Los Estados Financieros de los entes públicos, prove</w:t>
      </w:r>
      <w:r>
        <w:rPr>
          <w:rFonts w:asciiTheme="minorHAnsi" w:hAnsiTheme="minorHAnsi" w:cs="Calibri"/>
        </w:rPr>
        <w:t>en de información financiera a los principales usuarios de la misma, al Congreso y a los ciudadanos.</w:t>
      </w:r>
    </w:p>
    <w:p w14:paraId="52C4334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BF1337E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El objetivo del presente documento es la revelación del contexto y de los aspectos económicos-financieros más relevantes que influyeron en las decisiones </w:t>
      </w:r>
      <w:r>
        <w:rPr>
          <w:rFonts w:asciiTheme="minorHAnsi" w:hAnsiTheme="minorHAnsi" w:cs="Calibri"/>
        </w:rPr>
        <w:t>del período, y que deberán ser considerados en la elaboración de los estados financieros para la mayor comprensión de los mismos y sus particularidades.</w:t>
      </w:r>
    </w:p>
    <w:p w14:paraId="7F5141C9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B55B421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De esta manera, se informan y explican las condiciones relacionadas con la información financiera de c</w:t>
      </w:r>
      <w:r>
        <w:rPr>
          <w:rFonts w:asciiTheme="minorHAnsi" w:hAnsiTheme="minorHAnsi" w:cs="Calibri"/>
        </w:rPr>
        <w:t>ada período de gestión; además, de exponer aquellas políticas que podrían afectar la toma de decisiones en períodos posteriores. (</w:t>
      </w:r>
      <w:r>
        <w:rPr>
          <w:rFonts w:asciiTheme="minorHAnsi" w:hAnsiTheme="minorHAnsi" w:cs="Calibri"/>
          <w:color w:val="2F5496" w:themeColor="accent5" w:themeShade="BF"/>
        </w:rPr>
        <w:t>DOF 06-12-2022</w:t>
      </w:r>
      <w:r>
        <w:rPr>
          <w:rFonts w:asciiTheme="minorHAnsi" w:hAnsiTheme="minorHAnsi" w:cs="Calibri"/>
        </w:rPr>
        <w:t>)</w:t>
      </w:r>
    </w:p>
    <w:p w14:paraId="51EC366C" w14:textId="77777777" w:rsidR="006665B2" w:rsidRDefault="006665B2">
      <w:pPr>
        <w:pStyle w:val="Prrafodelista"/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DF09E61" w14:textId="77777777" w:rsidR="006665B2" w:rsidRDefault="009B06B1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Las notas de gestión administrativa deben contener los siguientes puntos:</w:t>
      </w:r>
    </w:p>
    <w:p w14:paraId="42F8E493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sdt>
      <w:sdtPr>
        <w:rPr>
          <w:rFonts w:asciiTheme="minorHAnsi" w:eastAsia="Calibri" w:hAnsiTheme="minorHAnsi" w:cs="Times New Roman"/>
          <w:color w:val="auto"/>
          <w:sz w:val="22"/>
          <w:szCs w:val="22"/>
          <w:lang w:val="es-ES" w:eastAsia="en-US"/>
        </w:rPr>
        <w:id w:val="-191922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65C69F" w14:textId="77777777" w:rsidR="006665B2" w:rsidRDefault="009B06B1">
          <w:pPr>
            <w:pStyle w:val="TtuloTDC1"/>
            <w:jc w:val="both"/>
            <w:rPr>
              <w:rFonts w:asciiTheme="minorHAnsi" w:hAnsiTheme="minorHAnsi"/>
              <w:sz w:val="22"/>
              <w:szCs w:val="22"/>
              <w:lang w:val="es-ES"/>
            </w:rPr>
          </w:pPr>
          <w:r>
            <w:rPr>
              <w:rFonts w:asciiTheme="minorHAnsi" w:hAnsiTheme="minorHAnsi"/>
              <w:sz w:val="22"/>
              <w:szCs w:val="22"/>
              <w:lang w:val="es-ES"/>
            </w:rPr>
            <w:t>Contenido</w:t>
          </w:r>
        </w:p>
        <w:p w14:paraId="1881BF32" w14:textId="77777777" w:rsidR="006665B2" w:rsidRDefault="006665B2">
          <w:pPr>
            <w:jc w:val="both"/>
            <w:rPr>
              <w:rFonts w:asciiTheme="minorHAnsi" w:hAnsiTheme="minorHAnsi"/>
              <w:lang w:val="es-ES" w:eastAsia="es-MX"/>
            </w:rPr>
          </w:pPr>
        </w:p>
        <w:p w14:paraId="44909730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TOC \o "1-3" \h \z \u </w:instrText>
          </w:r>
          <w:r>
            <w:rPr>
              <w:rFonts w:asciiTheme="minorHAnsi" w:hAnsiTheme="minorHAnsi"/>
            </w:rPr>
            <w:fldChar w:fldCharType="separate"/>
          </w:r>
          <w:hyperlink w:anchor="_Toc161472866" w:history="1">
            <w:r>
              <w:rPr>
                <w:rStyle w:val="Hipervnculo"/>
                <w:rFonts w:asciiTheme="minorHAnsi" w:hAnsiTheme="minorHAnsi" w:cstheme="minorHAnsi"/>
                <w:b/>
              </w:rPr>
              <w:t>1. Autorización e Historia: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_Toc161472866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7A04E4DA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67" w:history="1">
            <w:r>
              <w:rPr>
                <w:rStyle w:val="Hipervnculo"/>
                <w:rFonts w:asciiTheme="minorHAnsi" w:hAnsiTheme="minorHAnsi" w:cstheme="minorHAnsi"/>
                <w:b/>
              </w:rPr>
              <w:t>2. Panorama Económico y Financiero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_Toc161472867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28CC65EC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68" w:history="1">
            <w:r>
              <w:rPr>
                <w:rStyle w:val="Hipervnculo"/>
                <w:rFonts w:asciiTheme="minorHAnsi" w:hAnsiTheme="minorHAnsi" w:cstheme="minorHAnsi"/>
                <w:b/>
              </w:rPr>
              <w:t>3. Organización y Objeto Social: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_Toc161472868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446EE9C6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69" w:history="1">
            <w:r>
              <w:rPr>
                <w:rStyle w:val="Hipervnculo"/>
                <w:rFonts w:asciiTheme="minorHAnsi" w:hAnsiTheme="minorHAnsi" w:cstheme="minorHAnsi"/>
                <w:b/>
              </w:rPr>
              <w:t>4. Bases de Preparación de los Estados Financieros: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_Toc161472869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6E0B1F01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0" w:history="1">
            <w:r>
              <w:rPr>
                <w:rStyle w:val="Hipervnculo"/>
                <w:rFonts w:asciiTheme="minorHAnsi" w:hAnsiTheme="minorHAnsi" w:cstheme="minorHAnsi"/>
                <w:b/>
              </w:rPr>
              <w:t xml:space="preserve">5. Políticas de Contabilidad </w:t>
            </w:r>
            <w:r>
              <w:rPr>
                <w:rStyle w:val="Hipervnculo"/>
                <w:rFonts w:asciiTheme="minorHAnsi" w:hAnsiTheme="minorHAnsi" w:cstheme="minorHAnsi"/>
                <w:b/>
              </w:rPr>
              <w:t>Significativas: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_Toc161472870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3BB14D8B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1" w:history="1">
            <w:r>
              <w:rPr>
                <w:rStyle w:val="Hipervnculo"/>
                <w:rFonts w:asciiTheme="minorHAnsi" w:hAnsiTheme="minorHAnsi" w:cstheme="minorHAnsi"/>
                <w:b/>
              </w:rPr>
              <w:t>6. Posición en Moneda Extranjera y Protección por Riesgo Cambiario: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_Toc161472871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1BF8A1CB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2" w:history="1">
            <w:r>
              <w:rPr>
                <w:rStyle w:val="Hipervnculo"/>
                <w:rFonts w:asciiTheme="minorHAnsi" w:hAnsiTheme="minorHAnsi" w:cstheme="minorHAnsi"/>
                <w:b/>
              </w:rPr>
              <w:t>7. Reporte Analítico del Activo: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_Toc161472872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2C63A97C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3" w:history="1">
            <w:r>
              <w:rPr>
                <w:rStyle w:val="Hipervnculo"/>
                <w:rFonts w:asciiTheme="minorHAnsi" w:hAnsiTheme="minorHAnsi" w:cstheme="minorHAnsi"/>
                <w:b/>
              </w:rPr>
              <w:t>8. Fideico</w:t>
            </w:r>
            <w:r>
              <w:rPr>
                <w:rStyle w:val="Hipervnculo"/>
                <w:rFonts w:asciiTheme="minorHAnsi" w:hAnsiTheme="minorHAnsi" w:cstheme="minorHAnsi"/>
                <w:b/>
              </w:rPr>
              <w:t>misos, Mandatos y Análogos: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_Toc161472873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0669D17E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4" w:history="1">
            <w:r>
              <w:rPr>
                <w:rStyle w:val="Hipervnculo"/>
                <w:rFonts w:asciiTheme="minorHAnsi" w:hAnsiTheme="minorHAnsi" w:cstheme="minorHAnsi"/>
                <w:b/>
              </w:rPr>
              <w:t>9. Reporte de la Recaudación: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_Toc161472874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24968147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5" w:history="1">
            <w:r>
              <w:rPr>
                <w:rStyle w:val="Hipervnculo"/>
                <w:rFonts w:asciiTheme="minorHAnsi" w:hAnsiTheme="minorHAnsi" w:cstheme="minorHAnsi"/>
                <w:b/>
              </w:rPr>
              <w:t>10. Información sobre la Deuda y el Reporte Analítico de la Deuda: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_Toc161472875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3CEA449B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6" w:history="1">
            <w:r>
              <w:rPr>
                <w:rStyle w:val="Hipervnculo"/>
                <w:rFonts w:asciiTheme="minorHAnsi" w:hAnsiTheme="minorHAnsi" w:cstheme="minorHAnsi"/>
                <w:b/>
              </w:rPr>
              <w:t>11. Calificaciones otorgadas: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_Toc161472876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0256B08D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7" w:history="1">
            <w:r>
              <w:rPr>
                <w:rStyle w:val="Hipervnculo"/>
                <w:rFonts w:asciiTheme="minorHAnsi" w:hAnsiTheme="minorHAnsi" w:cstheme="minorHAnsi"/>
                <w:b/>
              </w:rPr>
              <w:t>12. Proceso de Mejora: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_Toc161472877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52BFB437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8" w:history="1">
            <w:r>
              <w:rPr>
                <w:rStyle w:val="Hipervnculo"/>
                <w:rFonts w:asciiTheme="minorHAnsi" w:hAnsiTheme="minorHAnsi" w:cstheme="minorHAnsi"/>
                <w:b/>
              </w:rPr>
              <w:t>13. In</w:t>
            </w:r>
            <w:r>
              <w:rPr>
                <w:rStyle w:val="Hipervnculo"/>
                <w:rFonts w:asciiTheme="minorHAnsi" w:hAnsiTheme="minorHAnsi" w:cstheme="minorHAnsi"/>
                <w:b/>
              </w:rPr>
              <w:t>formación por Segmentos: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_Toc161472878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1F717528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79" w:history="1">
            <w:r>
              <w:rPr>
                <w:rStyle w:val="Hipervnculo"/>
                <w:rFonts w:asciiTheme="minorHAnsi" w:hAnsiTheme="minorHAnsi" w:cstheme="minorHAnsi"/>
                <w:b/>
              </w:rPr>
              <w:t>14. Eventos Posteriores al Cierre: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_Toc161472879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5EA83B79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80" w:history="1">
            <w:r>
              <w:rPr>
                <w:rStyle w:val="Hipervnculo"/>
                <w:rFonts w:asciiTheme="minorHAnsi" w:hAnsiTheme="minorHAnsi" w:cstheme="minorHAnsi"/>
                <w:b/>
              </w:rPr>
              <w:t>15. Partes Relacionadas: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_Toc161472880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76FE76C8" w14:textId="77777777" w:rsidR="006665B2" w:rsidRDefault="009B06B1">
          <w:pPr>
            <w:pStyle w:val="TDC2"/>
            <w:tabs>
              <w:tab w:val="right" w:leader="dot" w:pos="9678"/>
            </w:tabs>
            <w:jc w:val="both"/>
            <w:rPr>
              <w:rFonts w:asciiTheme="minorHAnsi" w:eastAsiaTheme="minorEastAsia" w:hAnsiTheme="minorHAnsi" w:cstheme="minorBidi"/>
              <w:kern w:val="2"/>
              <w:lang w:eastAsia="es-MX"/>
              <w14:ligatures w14:val="standardContextual"/>
            </w:rPr>
          </w:pPr>
          <w:hyperlink w:anchor="_Toc161472881" w:history="1">
            <w:r>
              <w:rPr>
                <w:rStyle w:val="Hipervnculo"/>
                <w:rFonts w:asciiTheme="minorHAnsi" w:hAnsiTheme="minorHAnsi" w:cstheme="minorHAnsi"/>
                <w:b/>
              </w:rPr>
              <w:t>16. Responsabilidad Sobre la Presentación Razonable de la Información Contable: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PAGEREF _Toc161472881 \h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fldChar w:fldCharType="end"/>
            </w:r>
          </w:hyperlink>
        </w:p>
        <w:p w14:paraId="1B1FD117" w14:textId="77777777" w:rsidR="006665B2" w:rsidRDefault="009B06B1">
          <w:p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bCs/>
              <w:lang w:val="es-ES"/>
            </w:rPr>
            <w:fldChar w:fldCharType="end"/>
          </w:r>
        </w:p>
      </w:sdtContent>
    </w:sdt>
    <w:p w14:paraId="2EA531B4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27091C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3950212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161472866"/>
      <w:r>
        <w:rPr>
          <w:rFonts w:asciiTheme="minorHAnsi" w:hAnsiTheme="minorHAnsi" w:cstheme="minorHAnsi"/>
          <w:b/>
          <w:color w:val="auto"/>
          <w:sz w:val="22"/>
          <w:szCs w:val="22"/>
        </w:rPr>
        <w:t>1. Autorización e Historia:</w:t>
      </w:r>
      <w:bookmarkEnd w:id="0"/>
    </w:p>
    <w:p w14:paraId="067D154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7A6FD9F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informará sobre:</w:t>
      </w:r>
    </w:p>
    <w:p w14:paraId="2C5C7DA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34D2EAE" w14:textId="77777777" w:rsidR="006665B2" w:rsidRDefault="009B06B1">
      <w:pPr>
        <w:numPr>
          <w:ilvl w:val="0"/>
          <w:numId w:val="2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Fecha de creación del ente público.</w:t>
      </w:r>
    </w:p>
    <w:p w14:paraId="7304C03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84E2917" w14:textId="77777777" w:rsidR="006665B2" w:rsidRDefault="009B06B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 xml:space="preserve">Se crea la Junta Municipal de Agua Potable, Alcantarillado y Saneamiento de Coroneo, </w:t>
      </w:r>
      <w:proofErr w:type="spellStart"/>
      <w:r>
        <w:rPr>
          <w:rFonts w:asciiTheme="minorHAnsi" w:hAnsiTheme="minorHAnsi" w:cs="Arial"/>
          <w:i/>
          <w:iCs/>
        </w:rPr>
        <w:t>Gto</w:t>
      </w:r>
      <w:proofErr w:type="spellEnd"/>
      <w:r>
        <w:rPr>
          <w:rFonts w:asciiTheme="minorHAnsi" w:hAnsiTheme="minorHAnsi" w:cs="Arial"/>
          <w:i/>
          <w:iCs/>
        </w:rPr>
        <w:t xml:space="preserve">., (JUMAPASC), como un organismo público </w:t>
      </w:r>
      <w:r>
        <w:rPr>
          <w:rFonts w:asciiTheme="minorHAnsi" w:hAnsiTheme="minorHAnsi" w:cs="Arial"/>
          <w:i/>
          <w:iCs/>
        </w:rPr>
        <w:t>descentralizado de la administración pública municipal con personalidad jurídica y patrimonio propio, con fecha de 07 de diciembre de 2005</w:t>
      </w:r>
      <w:r>
        <w:rPr>
          <w:rFonts w:asciiTheme="minorHAnsi" w:hAnsiTheme="minorHAnsi" w:cs="Arial"/>
        </w:rPr>
        <w:t>.</w:t>
      </w:r>
    </w:p>
    <w:p w14:paraId="098B12A1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756519A" w14:textId="77777777" w:rsidR="006665B2" w:rsidRDefault="009B06B1">
      <w:pPr>
        <w:numPr>
          <w:ilvl w:val="0"/>
          <w:numId w:val="2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Principales cambios en su estructura (interna históricamente).</w:t>
      </w:r>
    </w:p>
    <w:p w14:paraId="058553B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6EA6ED9" w14:textId="77777777" w:rsidR="006665B2" w:rsidRDefault="009B06B1">
      <w:pPr>
        <w:pStyle w:val="Prrafodelista"/>
        <w:tabs>
          <w:tab w:val="left" w:pos="7920"/>
        </w:tabs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i/>
          <w:iCs/>
        </w:rPr>
        <w:t xml:space="preserve">El organismo operador tuvo un cambio por razón </w:t>
      </w:r>
      <w:r>
        <w:rPr>
          <w:rFonts w:asciiTheme="minorHAnsi" w:hAnsiTheme="minorHAnsi" w:cs="Arial"/>
          <w:i/>
          <w:iCs/>
        </w:rPr>
        <w:t>social el 30 de diciembre de 2008, de llamarse JUMAPAC, Cambio el nombre a JUMAPASC</w:t>
      </w:r>
      <w:r>
        <w:rPr>
          <w:rFonts w:asciiTheme="minorHAnsi" w:hAnsiTheme="minorHAnsi" w:cs="Arial"/>
        </w:rPr>
        <w:t>.</w:t>
      </w:r>
    </w:p>
    <w:p w14:paraId="4AAB57F8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Toc161472867"/>
      <w:r>
        <w:rPr>
          <w:rFonts w:asciiTheme="minorHAnsi" w:hAnsiTheme="minorHAnsi" w:cstheme="minorHAnsi"/>
          <w:b/>
          <w:color w:val="auto"/>
          <w:sz w:val="22"/>
          <w:szCs w:val="22"/>
        </w:rPr>
        <w:t>2. Panorama Económico y Financiero</w:t>
      </w:r>
      <w:bookmarkEnd w:id="1"/>
    </w:p>
    <w:p w14:paraId="2A5A9678" w14:textId="77777777" w:rsidR="006665B2" w:rsidRDefault="009B06B1">
      <w:p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El ingreso se compone del cobro por la prestación de los servicios de agua potable, alcantarillado y saneamiento. Del pago por nuevos co</w:t>
      </w:r>
      <w:r>
        <w:rPr>
          <w:rFonts w:asciiTheme="minorHAnsi" w:hAnsiTheme="minorHAnsi" w:cs="Arial"/>
          <w:i/>
          <w:iCs/>
        </w:rPr>
        <w:t>ntratos, de materiales, por la venta de servicios administrativos, reactivación de cuentas, limpieza de descargas, entre otros.</w:t>
      </w:r>
    </w:p>
    <w:p w14:paraId="704B371B" w14:textId="77777777" w:rsidR="006665B2" w:rsidRDefault="009B06B1">
      <w:p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La recaudación está en función de la estructura tarifaria y su capacidad técnico-administrativa, que permite llevar a cabo la fa</w:t>
      </w:r>
      <w:r>
        <w:rPr>
          <w:rFonts w:asciiTheme="minorHAnsi" w:hAnsiTheme="minorHAnsi" w:cs="Arial"/>
          <w:i/>
          <w:iCs/>
        </w:rPr>
        <w:t>cturación y de manera eficiente la cobranza del servicio.</w:t>
      </w:r>
    </w:p>
    <w:p w14:paraId="108E0BE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46AA75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AA3281F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Toc161472868"/>
      <w:r>
        <w:rPr>
          <w:rFonts w:asciiTheme="minorHAnsi" w:hAnsiTheme="minorHAnsi" w:cstheme="minorHAnsi"/>
          <w:b/>
          <w:color w:val="auto"/>
          <w:sz w:val="22"/>
          <w:szCs w:val="22"/>
        </w:rPr>
        <w:t>3. Organización y Objeto Social:</w:t>
      </w:r>
      <w:bookmarkEnd w:id="2"/>
    </w:p>
    <w:p w14:paraId="604713D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1D0EC35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informará sobre:</w:t>
      </w:r>
    </w:p>
    <w:p w14:paraId="6702839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67E5B78" w14:textId="77777777" w:rsidR="006665B2" w:rsidRDefault="009B06B1">
      <w:pPr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Objeto social.</w:t>
      </w:r>
    </w:p>
    <w:p w14:paraId="1887E5DC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089E58A" w14:textId="77777777" w:rsidR="006665B2" w:rsidRDefault="009B06B1">
      <w:pPr>
        <w:tabs>
          <w:tab w:val="left" w:pos="993"/>
        </w:tabs>
        <w:jc w:val="both"/>
        <w:rPr>
          <w:rFonts w:asciiTheme="minorHAnsi" w:hAnsiTheme="minorHAnsi" w:cs="Arial"/>
          <w:i/>
          <w:iCs/>
          <w:color w:val="002060"/>
        </w:rPr>
      </w:pPr>
      <w:r>
        <w:rPr>
          <w:rFonts w:asciiTheme="minorHAnsi" w:hAnsiTheme="minorHAnsi" w:cs="Arial"/>
          <w:i/>
          <w:iCs/>
        </w:rPr>
        <w:t>Mejorar los niveles de desarrollo y bienestar social en los servicios básicos con eficiencia y eficacia para el abastecimient</w:t>
      </w:r>
      <w:r>
        <w:rPr>
          <w:rFonts w:asciiTheme="minorHAnsi" w:hAnsiTheme="minorHAnsi" w:cs="Arial"/>
          <w:i/>
          <w:iCs/>
        </w:rPr>
        <w:t xml:space="preserve">o y cuidado del agua potable, los sistemas de red hidráulica, alcantarillado sanitario, promoviendo siempre una cultura para el cuidado del agua en las familias coronences. </w:t>
      </w:r>
    </w:p>
    <w:p w14:paraId="3537B6F3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Buscar la autosuficiencia financiera del Organismo para solventar los gastos de op</w:t>
      </w:r>
      <w:r>
        <w:rPr>
          <w:rFonts w:asciiTheme="minorHAnsi" w:hAnsiTheme="minorHAnsi" w:cs="Arial"/>
          <w:i/>
          <w:iCs/>
        </w:rPr>
        <w:t>eración, mantenimiento, administración de los servicios y ampliación de su infraestructura hidráulica.</w:t>
      </w:r>
      <w:r>
        <w:rPr>
          <w:rFonts w:asciiTheme="minorHAnsi" w:hAnsiTheme="minorHAnsi" w:cs="Arial"/>
        </w:rPr>
        <w:t xml:space="preserve"> </w:t>
      </w:r>
    </w:p>
    <w:p w14:paraId="35725D9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7F7E7254" w14:textId="77777777" w:rsidR="006665B2" w:rsidRDefault="009B06B1">
      <w:pPr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Principal actividad.</w:t>
      </w:r>
    </w:p>
    <w:p w14:paraId="30F4EAFD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EE7CA18" w14:textId="77777777" w:rsidR="006665B2" w:rsidRDefault="009B06B1">
      <w:pPr>
        <w:tabs>
          <w:tab w:val="left" w:pos="7920"/>
        </w:tabs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Recaudar, administrar y maximizar los recursos en obras, mejoras y extensiones de redes para los usuarios de la cabecera </w:t>
      </w:r>
      <w:r>
        <w:rPr>
          <w:rFonts w:asciiTheme="minorHAnsi" w:hAnsiTheme="minorHAnsi" w:cs="Arial"/>
          <w:i/>
          <w:iCs/>
        </w:rPr>
        <w:t xml:space="preserve">municipal, así como las de las colonias de </w:t>
      </w:r>
      <w:proofErr w:type="spellStart"/>
      <w:r>
        <w:rPr>
          <w:rFonts w:asciiTheme="minorHAnsi" w:hAnsiTheme="minorHAnsi" w:cs="Arial"/>
          <w:i/>
          <w:iCs/>
        </w:rPr>
        <w:t>Bodo</w:t>
      </w:r>
      <w:proofErr w:type="spellEnd"/>
      <w:r>
        <w:rPr>
          <w:rFonts w:asciiTheme="minorHAnsi" w:hAnsiTheme="minorHAnsi" w:cs="Arial"/>
          <w:i/>
          <w:iCs/>
        </w:rPr>
        <w:t>, El Calvario y El Arroyito.</w:t>
      </w:r>
    </w:p>
    <w:p w14:paraId="5D40E0EB" w14:textId="77777777" w:rsidR="006665B2" w:rsidRDefault="009B06B1">
      <w:pPr>
        <w:jc w:val="both"/>
        <w:rPr>
          <w:rFonts w:asciiTheme="minorHAnsi" w:hAnsiTheme="minorHAnsi" w:cs="Arial"/>
          <w:i/>
          <w:iCs/>
          <w:lang w:eastAsia="es-MX"/>
        </w:rPr>
      </w:pPr>
      <w:r>
        <w:rPr>
          <w:rFonts w:asciiTheme="minorHAnsi" w:hAnsiTheme="minorHAnsi" w:cs="Arial"/>
          <w:i/>
          <w:iCs/>
          <w:lang w:eastAsia="es-MX"/>
        </w:rPr>
        <w:lastRenderedPageBreak/>
        <w:t xml:space="preserve">Impulsar al organismo de manera competitiva en el servicio público, orientado hacia el cuidado y preservación en la reserva agua potable con la que se cuenta, para que los </w:t>
      </w:r>
      <w:r>
        <w:rPr>
          <w:rFonts w:asciiTheme="minorHAnsi" w:hAnsiTheme="minorHAnsi" w:cs="Arial"/>
          <w:i/>
          <w:iCs/>
          <w:lang w:eastAsia="es-MX"/>
        </w:rPr>
        <w:t>usuarios obtengan un servicio de calidad, así mismo la capacidad administrativa del personal, tomando decisiones que equilibren los riesgos y los beneficios de corto y largo plazo.</w:t>
      </w:r>
    </w:p>
    <w:p w14:paraId="1D018E49" w14:textId="77777777" w:rsidR="006665B2" w:rsidRDefault="009B06B1">
      <w:pPr>
        <w:tabs>
          <w:tab w:val="left" w:pos="7920"/>
        </w:tabs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El presente plan de trabajo de la JUMAPASC en esta administración 2021-2024</w:t>
      </w:r>
      <w:r>
        <w:rPr>
          <w:rFonts w:asciiTheme="minorHAnsi" w:hAnsiTheme="minorHAnsi" w:cs="Arial"/>
          <w:i/>
          <w:iCs/>
        </w:rPr>
        <w:t xml:space="preserve"> tiene como principal objetivo mejorar los niveles de desarrollo y bienestar social en los servicios básicos; en específico JUMAPASC con el abastecimiento y cuidado del agua potable, los sistemas de red hidráulica, alcantarillado sanitario a las familias c</w:t>
      </w:r>
      <w:r>
        <w:rPr>
          <w:rFonts w:asciiTheme="minorHAnsi" w:hAnsiTheme="minorHAnsi" w:cs="Arial"/>
          <w:i/>
          <w:iCs/>
        </w:rPr>
        <w:t>oronences. Estableciendo criterios y normas de diseño de construcción, operación y mantenimiento en coordinación y apoyo de las dependencias gubernamentales Federales, Estatales y Municipales, buscando siempre la eficiencia y eficacia, con soluciones econó</w:t>
      </w:r>
      <w:r>
        <w:rPr>
          <w:rFonts w:asciiTheme="minorHAnsi" w:hAnsiTheme="minorHAnsi" w:cs="Arial"/>
          <w:i/>
          <w:iCs/>
        </w:rPr>
        <w:t>micas, que cumplan con las leyes, reglas y normas vigentes aplicables a las acciones emprendidas.</w:t>
      </w:r>
    </w:p>
    <w:p w14:paraId="5FBC441C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48DCBD9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ED23054" w14:textId="77777777" w:rsidR="006665B2" w:rsidRDefault="009B06B1">
      <w:pPr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Ejercicio fiscal (mencionar, por ejemplo: enero a diciembre de 2024).</w:t>
      </w:r>
    </w:p>
    <w:p w14:paraId="4094E0F4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A86D3B3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Enero a diciembre 202</w:t>
      </w:r>
      <w:r>
        <w:rPr>
          <w:rFonts w:asciiTheme="minorHAnsi" w:hAnsiTheme="minorHAnsi" w:cs="Arial"/>
          <w:i/>
          <w:iCs/>
        </w:rPr>
        <w:t>4</w:t>
      </w:r>
    </w:p>
    <w:p w14:paraId="11743274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C03700" w14:textId="77777777" w:rsidR="006665B2" w:rsidRDefault="009B06B1">
      <w:pPr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Régimen jurídico (Forma como está dada de alta la entidad ant</w:t>
      </w:r>
      <w:r>
        <w:rPr>
          <w:rFonts w:asciiTheme="minorHAnsi" w:hAnsiTheme="minorHAnsi" w:cs="Calibri"/>
        </w:rPr>
        <w:t>e la S.H.C.P., ejemplos: S.C., S.A., Personas morales sin fines de lucro, etc.).</w:t>
      </w:r>
    </w:p>
    <w:p w14:paraId="360AD0F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7FE9480" w14:textId="77777777" w:rsidR="006665B2" w:rsidRDefault="009B06B1">
      <w:pPr>
        <w:pStyle w:val="Prrafodelista"/>
        <w:ind w:left="0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Personas morales con fines no lucrativos</w:t>
      </w:r>
    </w:p>
    <w:p w14:paraId="5C93E25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0601142" w14:textId="77777777" w:rsidR="006665B2" w:rsidRDefault="009B06B1">
      <w:pPr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Consideraciones fiscales del ente: Revelar el tipo de contribuciones que esté obligado a pagar o retener.</w:t>
      </w:r>
    </w:p>
    <w:p w14:paraId="7082D409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60D4CE9" w14:textId="77777777" w:rsidR="006665B2" w:rsidRDefault="009B06B1">
      <w:pPr>
        <w:jc w:val="both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/>
          <w:i/>
          <w:iCs/>
        </w:rPr>
        <w:t>Impuestos Federales.</w:t>
      </w:r>
    </w:p>
    <w:p w14:paraId="274C795D" w14:textId="77777777" w:rsidR="006665B2" w:rsidRDefault="009B06B1">
      <w:p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Rete</w:t>
      </w:r>
      <w:r>
        <w:rPr>
          <w:rFonts w:asciiTheme="minorHAnsi" w:hAnsiTheme="minorHAnsi" w:cs="Arial"/>
          <w:i/>
          <w:iCs/>
        </w:rPr>
        <w:t>nciones de Impuesto Sobre la Renta por Sueldos y Salarios.</w:t>
      </w:r>
    </w:p>
    <w:p w14:paraId="3BD89BC8" w14:textId="77777777" w:rsidR="006665B2" w:rsidRDefault="009B06B1">
      <w:p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Retenciones de Impuesto Sobre la Renta por los trabajadores Asimilados a Salarios.</w:t>
      </w:r>
    </w:p>
    <w:p w14:paraId="7FDD2DEE" w14:textId="77777777" w:rsidR="006665B2" w:rsidRDefault="009B06B1">
      <w:p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Retenciones de Impuesto Sobre la Renta realizadas por Servicios Profesionales.</w:t>
      </w:r>
    </w:p>
    <w:p w14:paraId="63380157" w14:textId="77777777" w:rsidR="006665B2" w:rsidRDefault="009B06B1">
      <w:p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Declaración y pago definitivo mensu</w:t>
      </w:r>
      <w:r>
        <w:rPr>
          <w:rFonts w:asciiTheme="minorHAnsi" w:hAnsiTheme="minorHAnsi" w:cs="Arial"/>
          <w:i/>
          <w:iCs/>
        </w:rPr>
        <w:t>al del Impuesto al Valor Agregado.</w:t>
      </w:r>
    </w:p>
    <w:p w14:paraId="76984670" w14:textId="77777777" w:rsidR="006665B2" w:rsidRDefault="009B06B1">
      <w:pPr>
        <w:jc w:val="both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/>
          <w:i/>
          <w:iCs/>
        </w:rPr>
        <w:t>Impuestos Estatales</w:t>
      </w:r>
    </w:p>
    <w:p w14:paraId="4AD31CBD" w14:textId="77777777" w:rsidR="006665B2" w:rsidRDefault="009B06B1">
      <w:p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Impuesto Sobre Nomina</w:t>
      </w:r>
    </w:p>
    <w:p w14:paraId="200267C9" w14:textId="77777777" w:rsidR="006665B2" w:rsidRDefault="009B06B1">
      <w:p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Retención de Impuesto Cedular</w:t>
      </w:r>
    </w:p>
    <w:p w14:paraId="17545DC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A9EEB1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f)</w:t>
      </w:r>
      <w:r>
        <w:rPr>
          <w:rFonts w:asciiTheme="minorHAnsi" w:hAnsiTheme="minorHAnsi" w:cs="Calibri"/>
        </w:rPr>
        <w:t xml:space="preserve"> Estructura organizacional básica.</w:t>
      </w:r>
    </w:p>
    <w:p w14:paraId="5DACDF77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114300" distR="114300" wp14:anchorId="549DC047" wp14:editId="42E647E6">
            <wp:extent cx="5614670" cy="6351905"/>
            <wp:effectExtent l="0" t="0" r="5080" b="10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AE79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103346C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2FECC41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3EEBC38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8B78BAF" w14:textId="77777777" w:rsidR="006665B2" w:rsidRDefault="009B06B1">
      <w:pPr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Fideicomisos de los cuales es fideicomitente o fideicomisario, y contratos análogos, incluyendo </w:t>
      </w:r>
      <w:r>
        <w:rPr>
          <w:rFonts w:asciiTheme="minorHAnsi" w:hAnsiTheme="minorHAnsi" w:cs="Calibri"/>
        </w:rPr>
        <w:t>mandatos de los cuales es parte.</w:t>
      </w:r>
    </w:p>
    <w:p w14:paraId="74767C28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0860498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</w:rPr>
        <w:t xml:space="preserve">       </w:t>
      </w:r>
      <w:r>
        <w:rPr>
          <w:rFonts w:asciiTheme="minorHAnsi" w:hAnsiTheme="minorHAnsi" w:cs="Arial"/>
          <w:i/>
          <w:iCs/>
        </w:rPr>
        <w:t xml:space="preserve">  No aplica</w:t>
      </w:r>
    </w:p>
    <w:p w14:paraId="306AEAA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0B8BB53" w14:textId="77777777" w:rsidR="006665B2" w:rsidRDefault="009B06B1">
      <w:pPr>
        <w:pStyle w:val="Ttulo2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3" w:name="_Toc161472869"/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Bases de Preparación de los Estados Financieros:</w:t>
      </w:r>
      <w:bookmarkEnd w:id="3"/>
    </w:p>
    <w:p w14:paraId="19F7160A" w14:textId="77777777" w:rsidR="006665B2" w:rsidRDefault="006665B2">
      <w:pPr>
        <w:jc w:val="both"/>
        <w:rPr>
          <w:rFonts w:asciiTheme="minorHAnsi" w:hAnsiTheme="minorHAnsi"/>
        </w:rPr>
      </w:pPr>
    </w:p>
    <w:p w14:paraId="37154647" w14:textId="77777777" w:rsidR="006665B2" w:rsidRDefault="009B06B1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Si se lleva la normatividad emitida por el CONAC y las leyes fiscales como son Ley del IVA, ISR, el Código Fiscal de la Federación</w:t>
      </w:r>
    </w:p>
    <w:p w14:paraId="4635DC4F" w14:textId="77777777" w:rsidR="006665B2" w:rsidRDefault="009B06B1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i/>
          <w:iCs/>
        </w:rPr>
        <w:t>La normatividad aplic</w:t>
      </w:r>
      <w:r>
        <w:rPr>
          <w:rFonts w:asciiTheme="minorHAnsi" w:hAnsiTheme="minorHAnsi" w:cs="Arial"/>
          <w:i/>
          <w:iCs/>
        </w:rPr>
        <w:t>ada es</w:t>
      </w:r>
    </w:p>
    <w:p w14:paraId="1B51A203" w14:textId="77777777" w:rsidR="006665B2" w:rsidRDefault="009B06B1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i/>
          <w:iCs/>
        </w:rPr>
        <w:t>Postulados Básicos se aplican las Normas de Información Financiera</w:t>
      </w:r>
    </w:p>
    <w:p w14:paraId="25C1025E" w14:textId="77777777" w:rsidR="006665B2" w:rsidRDefault="009B06B1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i/>
          <w:iCs/>
        </w:rPr>
        <w:t>Normatividad Supletoria, Las reglas de la CONAC</w:t>
      </w:r>
    </w:p>
    <w:p w14:paraId="7884893E" w14:textId="77777777" w:rsidR="006665B2" w:rsidRDefault="009B06B1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i/>
          <w:iCs/>
        </w:rPr>
        <w:t>No aplica</w:t>
      </w:r>
    </w:p>
    <w:p w14:paraId="0F91F91A" w14:textId="77777777" w:rsidR="006665B2" w:rsidRDefault="006665B2">
      <w:pPr>
        <w:jc w:val="both"/>
        <w:rPr>
          <w:rFonts w:asciiTheme="minorHAnsi" w:hAnsiTheme="minorHAnsi"/>
        </w:rPr>
      </w:pPr>
    </w:p>
    <w:p w14:paraId="6E0E0B5F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informará sobre:</w:t>
      </w:r>
    </w:p>
    <w:p w14:paraId="2BD72CC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8DEA6E3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a)</w:t>
      </w:r>
      <w:r>
        <w:rPr>
          <w:rFonts w:asciiTheme="minorHAnsi" w:hAnsiTheme="minorHAnsi" w:cs="Calibri"/>
        </w:rPr>
        <w:t xml:space="preserve"> Si se ha observado la normatividad emitida por el CONAC y las disposiciones legales aplicables.</w:t>
      </w:r>
    </w:p>
    <w:p w14:paraId="138B05FA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771056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La normatividad aplicada para el reconocimiento, valuación y revelación de los diferentes rubros de la información financiera, así como las bases de medición utilizadas para la elaboración de los estados financieros; por ejemplo: costo histórico, valor de</w:t>
      </w:r>
      <w:r>
        <w:rPr>
          <w:rFonts w:asciiTheme="minorHAnsi" w:hAnsiTheme="minorHAnsi" w:cs="Calibri"/>
        </w:rPr>
        <w:t xml:space="preserve"> realización, valor razonable, valor de recuperación o cualquier otro método empleado y los criterios de aplicación de los mismos.</w:t>
      </w:r>
    </w:p>
    <w:p w14:paraId="07E6CECA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C97CF75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c)</w:t>
      </w:r>
      <w:r>
        <w:rPr>
          <w:rFonts w:asciiTheme="minorHAnsi" w:hAnsiTheme="minorHAnsi" w:cs="Calibri"/>
        </w:rPr>
        <w:t xml:space="preserve"> Postulados básicos de Contabilidad Gubernamental (PBCG).</w:t>
      </w:r>
    </w:p>
    <w:p w14:paraId="1115B2BD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876A786" w14:textId="6C668E1E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d)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Normatividad supletoria. En caso de emplear</w:t>
      </w:r>
      <w:r>
        <w:rPr>
          <w:rFonts w:asciiTheme="minorHAnsi" w:hAnsiTheme="minorHAnsi" w:cs="Calibri"/>
        </w:rPr>
        <w:t xml:space="preserve"> varios grupos de normatividades (normatividades supletorias), deberá realizar la justificación razonable correspondiente, su alineación con los PBCG y a las características cualitativas asociadas descritas en el Marco Conceptual de Contabilidad Gubernamen</w:t>
      </w:r>
      <w:r>
        <w:rPr>
          <w:rFonts w:asciiTheme="minorHAnsi" w:hAnsiTheme="minorHAnsi" w:cs="Calibri"/>
        </w:rPr>
        <w:t>tal (MCCG) y sus modificaciones</w:t>
      </w:r>
      <w:r w:rsidR="001B7919">
        <w:rPr>
          <w:rFonts w:asciiTheme="minorHAnsi" w:hAnsiTheme="minorHAnsi" w:cs="Calibri"/>
        </w:rPr>
        <w:t>:</w:t>
      </w:r>
    </w:p>
    <w:p w14:paraId="35670CC9" w14:textId="77777777" w:rsidR="001B7919" w:rsidRDefault="001B7919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A8A1DEE" w14:textId="64FB9634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NADA QUE MANIFESTAR</w:t>
      </w:r>
    </w:p>
    <w:p w14:paraId="252B4EA9" w14:textId="77777777" w:rsidR="001B7919" w:rsidRPr="001B7919" w:rsidRDefault="001B7919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</w:p>
    <w:p w14:paraId="0FAAFCF8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e)</w:t>
      </w:r>
      <w:r>
        <w:rPr>
          <w:rFonts w:asciiTheme="minorHAnsi" w:hAnsiTheme="minorHAnsi" w:cs="Calibri"/>
        </w:rPr>
        <w:t xml:space="preserve"> Para las entidades que por primera vez estén implementando la base de devengado de acuerdo a la Ley de Contabilidad, deberán:</w:t>
      </w:r>
    </w:p>
    <w:p w14:paraId="2DB770D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170AB2A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*Revelar las nuevas políticas de reconocimiento:</w:t>
      </w:r>
    </w:p>
    <w:p w14:paraId="0A6359E8" w14:textId="61DA46D2" w:rsidR="006665B2" w:rsidRPr="001B7919" w:rsidRDefault="001B7919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1B7919">
        <w:rPr>
          <w:rFonts w:asciiTheme="minorHAnsi" w:hAnsiTheme="minorHAnsi" w:cs="Calibri"/>
          <w:b/>
          <w:bCs/>
        </w:rPr>
        <w:t>NADA QUE MANISFESTAR</w:t>
      </w:r>
    </w:p>
    <w:p w14:paraId="207CBF4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CC2976D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*Plan de implementación:</w:t>
      </w:r>
    </w:p>
    <w:p w14:paraId="02D266F8" w14:textId="22439239" w:rsidR="006665B2" w:rsidRDefault="001B7919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1B7919">
        <w:rPr>
          <w:rFonts w:asciiTheme="minorHAnsi" w:hAnsiTheme="minorHAnsi" w:cs="Calibri"/>
          <w:b/>
          <w:bCs/>
        </w:rPr>
        <w:t>NADA QUE MANIFESTAR</w:t>
      </w:r>
    </w:p>
    <w:p w14:paraId="154D512D" w14:textId="77777777" w:rsidR="001B7919" w:rsidRPr="001B7919" w:rsidRDefault="001B7919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</w:p>
    <w:p w14:paraId="14834B59" w14:textId="0BEE64C2" w:rsidR="001B7919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*Revelar los cambios en las políticas, la cl</w:t>
      </w:r>
      <w:r>
        <w:rPr>
          <w:rFonts w:asciiTheme="minorHAnsi" w:hAnsiTheme="minorHAnsi" w:cs="Calibri"/>
        </w:rPr>
        <w:t>asificación y medición de las mismas, así como su impacto en la información financiera:</w:t>
      </w:r>
    </w:p>
    <w:p w14:paraId="0B7F69B7" w14:textId="4EE2D554" w:rsidR="006665B2" w:rsidRPr="001B7919" w:rsidRDefault="001B7919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1B7919">
        <w:rPr>
          <w:rFonts w:asciiTheme="minorHAnsi" w:hAnsiTheme="minorHAnsi" w:cs="Calibri"/>
          <w:b/>
          <w:bCs/>
        </w:rPr>
        <w:t>NADA QUE MANIFESTAR</w:t>
      </w:r>
    </w:p>
    <w:p w14:paraId="32074FB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D8B2A0D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*Presentar los últimos estados financieros con la normatividad anteriormente utilizada con las nuevas políticas para fines de comparación en la transición a la bas</w:t>
      </w:r>
      <w:r>
        <w:rPr>
          <w:rFonts w:asciiTheme="minorHAnsi" w:hAnsiTheme="minorHAnsi" w:cs="Calibri"/>
        </w:rPr>
        <w:t>e de devengado.</w:t>
      </w:r>
    </w:p>
    <w:p w14:paraId="2B0D1996" w14:textId="60CB65B5" w:rsidR="006665B2" w:rsidRPr="001B7919" w:rsidRDefault="001B7919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1B7919">
        <w:rPr>
          <w:rFonts w:asciiTheme="minorHAnsi" w:hAnsiTheme="minorHAnsi" w:cs="Calibri"/>
          <w:b/>
          <w:bCs/>
        </w:rPr>
        <w:t>NADA QUE MANIFESTAR</w:t>
      </w:r>
    </w:p>
    <w:p w14:paraId="309B52D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1C65A59" w14:textId="77777777" w:rsidR="006665B2" w:rsidRDefault="009B06B1">
      <w:pPr>
        <w:pStyle w:val="Ttulo2"/>
        <w:jc w:val="both"/>
        <w:rPr>
          <w:rFonts w:asciiTheme="minorHAnsi" w:hAnsiTheme="minorHAnsi" w:cs="Calibri"/>
          <w:b/>
          <w:sz w:val="22"/>
          <w:szCs w:val="22"/>
        </w:rPr>
      </w:pPr>
      <w:bookmarkStart w:id="4" w:name="_Toc161472870"/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5. Políticas de Contabilidad Significativas:</w:t>
      </w:r>
      <w:bookmarkEnd w:id="4"/>
    </w:p>
    <w:p w14:paraId="4184EA6A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Son los principios, bases, reglas y procedimientos específicos adoptados por el ente público en la elaboración y presentación de sus estados financieros. </w:t>
      </w:r>
    </w:p>
    <w:p w14:paraId="2321B56F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El ente público </w:t>
      </w:r>
      <w:r>
        <w:rPr>
          <w:rFonts w:asciiTheme="minorHAnsi" w:hAnsiTheme="minorHAnsi" w:cs="Calibri"/>
        </w:rPr>
        <w:t>seleccionará y aplicará sus políticas contables de manera congruente para transacciones, otros eventos y condiciones que sean similares.</w:t>
      </w:r>
    </w:p>
    <w:p w14:paraId="5F3A1D64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informará sobre:</w:t>
      </w:r>
    </w:p>
    <w:p w14:paraId="53867CC3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96D3335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a)</w:t>
      </w:r>
      <w:r>
        <w:rPr>
          <w:rFonts w:asciiTheme="minorHAnsi" w:hAnsiTheme="minorHAnsi" w:cs="Calibri"/>
        </w:rPr>
        <w:t xml:space="preserve"> Actualización: se informará del método utilizado para la actualización del valor de los activos</w:t>
      </w:r>
      <w:r>
        <w:rPr>
          <w:rFonts w:asciiTheme="minorHAnsi" w:hAnsiTheme="minorHAnsi" w:cs="Calibri"/>
        </w:rPr>
        <w:t>, pasivos y Hacienda Pública/Patrimonio y las razones de dicha elección. Así como informar de la desconexión o reconexión inflacionaria:</w:t>
      </w:r>
    </w:p>
    <w:p w14:paraId="1D526773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D576F88" w14:textId="77777777" w:rsidR="006665B2" w:rsidRDefault="009B06B1">
      <w:pPr>
        <w:spacing w:after="0" w:line="240" w:lineRule="auto"/>
        <w:ind w:left="360"/>
        <w:jc w:val="both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i/>
          <w:iCs/>
        </w:rPr>
        <w:t>No aplica</w:t>
      </w:r>
    </w:p>
    <w:p w14:paraId="1E5E9C8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EA8E00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Informar sobre la realización de operaciones en el extranjero y de sus efectos en la información financi</w:t>
      </w:r>
      <w:r>
        <w:rPr>
          <w:rFonts w:asciiTheme="minorHAnsi" w:hAnsiTheme="minorHAnsi" w:cs="Calibri"/>
        </w:rPr>
        <w:t>era gubernamental, considerando entre otros el importe de las variaciones cambiarias reconocidas en el resultado (ahorro o desahorro):</w:t>
      </w:r>
    </w:p>
    <w:p w14:paraId="1FA68033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190E557" w14:textId="77777777" w:rsidR="006665B2" w:rsidRDefault="009B06B1">
      <w:pPr>
        <w:spacing w:after="0" w:line="240" w:lineRule="auto"/>
        <w:ind w:left="360"/>
        <w:jc w:val="both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i/>
          <w:iCs/>
        </w:rPr>
        <w:t>No aplica</w:t>
      </w:r>
    </w:p>
    <w:p w14:paraId="3EBB1904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ABB8333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c)</w:t>
      </w:r>
      <w:r>
        <w:rPr>
          <w:rFonts w:asciiTheme="minorHAnsi" w:hAnsiTheme="minorHAnsi" w:cs="Calibri"/>
        </w:rPr>
        <w:t xml:space="preserve"> Método de valuación de la inversión en acciones de Compañías subsidiarias no consolidadas y asociadas:</w:t>
      </w:r>
    </w:p>
    <w:p w14:paraId="76A4FFB6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32F2CE3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   </w:t>
      </w:r>
      <w:r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  <w:i/>
          <w:iCs/>
        </w:rPr>
        <w:t>No aplica</w:t>
      </w:r>
    </w:p>
    <w:p w14:paraId="27DD2F5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B6E6BB4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d)</w:t>
      </w:r>
      <w:r>
        <w:rPr>
          <w:rFonts w:asciiTheme="minorHAnsi" w:hAnsiTheme="minorHAnsi" w:cs="Calibri"/>
        </w:rPr>
        <w:t xml:space="preserve"> Sistema y método de valuación de inventarios y costo de lo vendido:</w:t>
      </w:r>
    </w:p>
    <w:p w14:paraId="0626DAB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BA08D5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</w:t>
      </w:r>
      <w:r>
        <w:rPr>
          <w:rFonts w:asciiTheme="minorHAnsi" w:hAnsiTheme="minorHAnsi" w:cs="Arial"/>
          <w:i/>
          <w:iCs/>
        </w:rPr>
        <w:t xml:space="preserve">No aplica </w:t>
      </w:r>
    </w:p>
    <w:p w14:paraId="795B490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E0D6623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e)</w:t>
      </w:r>
      <w:r>
        <w:rPr>
          <w:rFonts w:asciiTheme="minorHAnsi" w:hAnsiTheme="minorHAnsi" w:cs="Calibri"/>
        </w:rPr>
        <w:t xml:space="preserve"> Beneficios a empleados: revelar el cálculo de la reserva actuarial, valor presente de los ingresos esperados comparado con el valor presente de la estimación de gastos tanto de los beneficiarios actuales como futuros:</w:t>
      </w:r>
    </w:p>
    <w:p w14:paraId="2314296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7852258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</w:t>
      </w:r>
      <w:r>
        <w:rPr>
          <w:rFonts w:asciiTheme="minorHAnsi" w:hAnsiTheme="minorHAnsi" w:cs="Arial"/>
          <w:i/>
          <w:iCs/>
        </w:rPr>
        <w:t>No aplica</w:t>
      </w:r>
      <w:r>
        <w:rPr>
          <w:rFonts w:asciiTheme="minorHAnsi" w:hAnsiTheme="minorHAnsi" w:cs="Calibri"/>
        </w:rPr>
        <w:t xml:space="preserve"> </w:t>
      </w:r>
    </w:p>
    <w:p w14:paraId="2983603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00ED414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f)</w:t>
      </w:r>
      <w:r>
        <w:rPr>
          <w:rFonts w:asciiTheme="minorHAnsi" w:hAnsiTheme="minorHAnsi" w:cs="Calibri"/>
        </w:rPr>
        <w:t xml:space="preserve"> Provisiones: obje</w:t>
      </w:r>
      <w:r>
        <w:rPr>
          <w:rFonts w:asciiTheme="minorHAnsi" w:hAnsiTheme="minorHAnsi" w:cs="Calibri"/>
        </w:rPr>
        <w:t>tivo de su creación, monto y plazo:</w:t>
      </w:r>
    </w:p>
    <w:p w14:paraId="43EAE2A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505DCEA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</w:t>
      </w:r>
      <w:r>
        <w:rPr>
          <w:rFonts w:asciiTheme="minorHAnsi" w:hAnsiTheme="minorHAnsi" w:cs="Arial"/>
          <w:i/>
          <w:iCs/>
        </w:rPr>
        <w:t xml:space="preserve">No aplica </w:t>
      </w:r>
    </w:p>
    <w:p w14:paraId="6CF8B1F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BD0D42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g)</w:t>
      </w:r>
      <w:r>
        <w:rPr>
          <w:rFonts w:asciiTheme="minorHAnsi" w:hAnsiTheme="minorHAnsi" w:cs="Calibri"/>
        </w:rPr>
        <w:t xml:space="preserve"> Reservas: objetivo de su creación, monto y plazo:</w:t>
      </w:r>
    </w:p>
    <w:p w14:paraId="3566F033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91991D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</w:t>
      </w:r>
      <w:r>
        <w:rPr>
          <w:rFonts w:asciiTheme="minorHAnsi" w:hAnsiTheme="minorHAnsi" w:cs="Arial"/>
          <w:i/>
          <w:iCs/>
        </w:rPr>
        <w:t xml:space="preserve">No aplica </w:t>
      </w:r>
    </w:p>
    <w:p w14:paraId="74FBEF1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0104257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h)</w:t>
      </w:r>
      <w:r>
        <w:rPr>
          <w:rFonts w:asciiTheme="minorHAnsi" w:hAnsiTheme="minorHAnsi" w:cs="Calibri"/>
        </w:rPr>
        <w:t xml:space="preserve"> Cambios en políticas contables y corrección de errores junto con la revelación de los efectos que se tendrá en la información financiera del ente público, ya sea retrospectivos o prospectivos:</w:t>
      </w:r>
    </w:p>
    <w:p w14:paraId="0ACDB630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0D2F3DB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</w:t>
      </w:r>
      <w:r>
        <w:rPr>
          <w:rFonts w:asciiTheme="minorHAnsi" w:hAnsiTheme="minorHAnsi" w:cs="Arial"/>
          <w:i/>
          <w:iCs/>
        </w:rPr>
        <w:t>No aplica</w:t>
      </w:r>
    </w:p>
    <w:p w14:paraId="07E1E455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0015503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i)</w:t>
      </w:r>
      <w:r>
        <w:rPr>
          <w:rFonts w:asciiTheme="minorHAnsi" w:hAnsiTheme="minorHAnsi" w:cs="Calibri"/>
        </w:rPr>
        <w:t xml:space="preserve"> Reclasificaciones: Se deben revelar todos aq</w:t>
      </w:r>
      <w:r>
        <w:rPr>
          <w:rFonts w:asciiTheme="minorHAnsi" w:hAnsiTheme="minorHAnsi" w:cs="Calibri"/>
        </w:rPr>
        <w:t>uellos movimientos entre cuentas por efectos de cambios en los tipos de operaciones:</w:t>
      </w:r>
    </w:p>
    <w:p w14:paraId="4E2703FD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9D0D586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</w:t>
      </w:r>
      <w:r>
        <w:rPr>
          <w:rFonts w:asciiTheme="minorHAnsi" w:hAnsiTheme="minorHAnsi" w:cs="Arial"/>
          <w:i/>
          <w:iCs/>
        </w:rPr>
        <w:t xml:space="preserve">No aplica </w:t>
      </w:r>
    </w:p>
    <w:p w14:paraId="6B9C5848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7F3C3DB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j)</w:t>
      </w:r>
      <w:r>
        <w:rPr>
          <w:rFonts w:asciiTheme="minorHAnsi" w:hAnsiTheme="minorHAnsi" w:cs="Calibri"/>
        </w:rPr>
        <w:t xml:space="preserve"> Depuración y cancelación de saldos:</w:t>
      </w:r>
    </w:p>
    <w:p w14:paraId="0DAD929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6DD38CB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</w:t>
      </w:r>
      <w:r>
        <w:rPr>
          <w:rFonts w:asciiTheme="minorHAnsi" w:hAnsiTheme="minorHAnsi" w:cs="Arial"/>
          <w:i/>
          <w:iCs/>
        </w:rPr>
        <w:t xml:space="preserve">No aplica </w:t>
      </w:r>
    </w:p>
    <w:p w14:paraId="7FD8955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2E62364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161472871"/>
      <w:r>
        <w:rPr>
          <w:rFonts w:asciiTheme="minorHAnsi" w:hAnsiTheme="minorHAnsi" w:cstheme="minorHAnsi"/>
          <w:b/>
          <w:color w:val="auto"/>
          <w:sz w:val="22"/>
          <w:szCs w:val="22"/>
        </w:rPr>
        <w:t>6. Posición en Moneda Extranjera y Protección por Riesgo Cambiario:</w:t>
      </w:r>
      <w:bookmarkEnd w:id="5"/>
    </w:p>
    <w:p w14:paraId="41E885AD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05D093B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informará sobre:</w:t>
      </w:r>
    </w:p>
    <w:p w14:paraId="5C37C591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2A3412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a)</w:t>
      </w:r>
      <w:r>
        <w:rPr>
          <w:rFonts w:asciiTheme="minorHAnsi" w:hAnsiTheme="minorHAnsi" w:cs="Calibri"/>
        </w:rPr>
        <w:t xml:space="preserve"> Activ</w:t>
      </w:r>
      <w:r>
        <w:rPr>
          <w:rFonts w:asciiTheme="minorHAnsi" w:hAnsiTheme="minorHAnsi" w:cs="Calibri"/>
        </w:rPr>
        <w:t>os en moneda extranjera:</w:t>
      </w:r>
    </w:p>
    <w:p w14:paraId="2C07BAE8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i/>
          <w:iCs/>
        </w:rPr>
        <w:t xml:space="preserve">    No aplica</w:t>
      </w:r>
      <w:r>
        <w:rPr>
          <w:rFonts w:asciiTheme="minorHAnsi" w:hAnsiTheme="minorHAnsi" w:cs="Calibri"/>
        </w:rPr>
        <w:t xml:space="preserve"> </w:t>
      </w:r>
    </w:p>
    <w:p w14:paraId="3F9A172B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Pasivos en moneda extranjera:</w:t>
      </w:r>
    </w:p>
    <w:p w14:paraId="1577B201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BF47AA0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Arial"/>
          <w:i/>
          <w:iCs/>
        </w:rPr>
        <w:t xml:space="preserve">    No aplica</w:t>
      </w:r>
      <w:r>
        <w:rPr>
          <w:rFonts w:asciiTheme="minorHAnsi" w:hAnsiTheme="minorHAnsi" w:cs="Calibri"/>
        </w:rPr>
        <w:t xml:space="preserve"> </w:t>
      </w:r>
    </w:p>
    <w:p w14:paraId="5D1110A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2B9EB21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c) </w:t>
      </w:r>
      <w:r>
        <w:rPr>
          <w:rFonts w:asciiTheme="minorHAnsi" w:hAnsiTheme="minorHAnsi" w:cs="Calibri"/>
        </w:rPr>
        <w:t>Posición en moneda extranjera:</w:t>
      </w:r>
    </w:p>
    <w:p w14:paraId="617E3DD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317F7EA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i/>
          <w:iCs/>
        </w:rPr>
        <w:t xml:space="preserve">    No aplica</w:t>
      </w:r>
      <w:r>
        <w:rPr>
          <w:rFonts w:asciiTheme="minorHAnsi" w:hAnsiTheme="minorHAnsi" w:cs="Calibri"/>
        </w:rPr>
        <w:t xml:space="preserve"> </w:t>
      </w:r>
    </w:p>
    <w:p w14:paraId="098EA16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FD3AF2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d)</w:t>
      </w:r>
      <w:r>
        <w:rPr>
          <w:rFonts w:asciiTheme="minorHAnsi" w:hAnsiTheme="minorHAnsi" w:cs="Calibri"/>
        </w:rPr>
        <w:t xml:space="preserve"> Tipo de cambio:</w:t>
      </w:r>
    </w:p>
    <w:p w14:paraId="36F291B4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2CC84E1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i/>
          <w:iCs/>
        </w:rPr>
        <w:t xml:space="preserve">    No aplica</w:t>
      </w:r>
      <w:r>
        <w:rPr>
          <w:rFonts w:asciiTheme="minorHAnsi" w:hAnsiTheme="minorHAnsi" w:cs="Calibri"/>
        </w:rPr>
        <w:t xml:space="preserve"> </w:t>
      </w:r>
    </w:p>
    <w:p w14:paraId="4B12611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B236F6C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e) </w:t>
      </w:r>
      <w:r>
        <w:rPr>
          <w:rFonts w:asciiTheme="minorHAnsi" w:hAnsiTheme="minorHAnsi" w:cs="Calibri"/>
        </w:rPr>
        <w:t>Equivalente en moneda nacional:</w:t>
      </w:r>
    </w:p>
    <w:p w14:paraId="39764153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8B4E4BF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>
        <w:rPr>
          <w:rFonts w:asciiTheme="minorHAnsi" w:hAnsiTheme="minorHAnsi" w:cs="Arial"/>
          <w:i/>
          <w:iCs/>
        </w:rPr>
        <w:t>No aplica</w:t>
      </w:r>
      <w:r>
        <w:rPr>
          <w:rFonts w:asciiTheme="minorHAnsi" w:hAnsiTheme="minorHAnsi" w:cs="Calibri"/>
          <w:i/>
          <w:iCs/>
        </w:rPr>
        <w:t xml:space="preserve"> </w:t>
      </w:r>
    </w:p>
    <w:p w14:paraId="1EB833D4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BA90796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Lo anterior por cada </w:t>
      </w:r>
      <w:r>
        <w:rPr>
          <w:rFonts w:asciiTheme="minorHAnsi" w:hAnsiTheme="minorHAnsi" w:cs="Calibri"/>
        </w:rPr>
        <w:t>tipo de moneda extranjera que se encuentre en los rubros de activo y pasivo.</w:t>
      </w:r>
    </w:p>
    <w:p w14:paraId="3E94C87A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Adicionalmente, se informará sobre los métodos de protección de riesgo por variaciones en el tipo de cambio.</w:t>
      </w:r>
    </w:p>
    <w:p w14:paraId="6CDBD8F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9207EF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EB3726A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Toc161472872"/>
      <w:r>
        <w:rPr>
          <w:rFonts w:asciiTheme="minorHAnsi" w:hAnsiTheme="minorHAnsi" w:cstheme="minorHAnsi"/>
          <w:b/>
          <w:color w:val="auto"/>
          <w:sz w:val="22"/>
          <w:szCs w:val="22"/>
        </w:rPr>
        <w:t>7. Reporte Analítico del Activo:</w:t>
      </w:r>
      <w:bookmarkEnd w:id="6"/>
    </w:p>
    <w:p w14:paraId="45393E8C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0216C6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Debe mostrar la siguiente informac</w:t>
      </w:r>
      <w:r>
        <w:rPr>
          <w:rFonts w:asciiTheme="minorHAnsi" w:hAnsiTheme="minorHAnsi" w:cs="Calibri"/>
        </w:rPr>
        <w:t>ión:</w:t>
      </w:r>
    </w:p>
    <w:p w14:paraId="5D47B82D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371889E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a)</w:t>
      </w:r>
      <w:r>
        <w:rPr>
          <w:rFonts w:asciiTheme="minorHAnsi" w:hAnsiTheme="minorHAnsi" w:cs="Calibri"/>
        </w:rPr>
        <w:t xml:space="preserve"> Vida útil, porcentajes de depreciación y amortización utilizados en los diferentes tipos de activos, o el importe de las pérdidas por deterioro re</w:t>
      </w:r>
      <w:r>
        <w:rPr>
          <w:rFonts w:asciiTheme="minorHAnsi" w:hAnsiTheme="minorHAnsi" w:cs="Calibri"/>
        </w:rPr>
        <w:t>c</w:t>
      </w:r>
      <w:r>
        <w:rPr>
          <w:rFonts w:asciiTheme="minorHAnsi" w:hAnsiTheme="minorHAnsi" w:cs="Calibri"/>
        </w:rPr>
        <w:t>o</w:t>
      </w:r>
      <w:r>
        <w:rPr>
          <w:rFonts w:asciiTheme="minorHAnsi" w:hAnsiTheme="minorHAnsi" w:cs="Calibri"/>
        </w:rPr>
        <w:t>n</w:t>
      </w:r>
      <w:r>
        <w:rPr>
          <w:rFonts w:asciiTheme="minorHAnsi" w:hAnsiTheme="minorHAnsi" w:cs="Calibri"/>
        </w:rPr>
        <w:t>o</w:t>
      </w:r>
      <w:r>
        <w:rPr>
          <w:rFonts w:asciiTheme="minorHAnsi" w:hAnsiTheme="minorHAnsi" w:cs="Calibri"/>
        </w:rPr>
        <w:t>c</w:t>
      </w:r>
      <w:r>
        <w:rPr>
          <w:rFonts w:asciiTheme="minorHAnsi" w:hAnsiTheme="minorHAnsi" w:cs="Calibri"/>
        </w:rPr>
        <w:t>i</w:t>
      </w:r>
      <w:r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a</w:t>
      </w:r>
      <w:r>
        <w:rPr>
          <w:rFonts w:asciiTheme="minorHAnsi" w:hAnsiTheme="minorHAnsi" w:cs="Calibri"/>
        </w:rPr>
        <w:t>s</w:t>
      </w:r>
      <w:r>
        <w:rPr>
          <w:rFonts w:asciiTheme="minorHAnsi" w:hAnsiTheme="minorHAnsi" w:cs="Calibri"/>
        </w:rPr>
        <w:t>:</w:t>
      </w:r>
    </w:p>
    <w:p w14:paraId="6EDA230D" w14:textId="063F4D2F" w:rsidR="009B06B1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SE LLEVA A CABO</w:t>
      </w:r>
    </w:p>
    <w:p w14:paraId="4580B0BB" w14:textId="77777777" w:rsidR="009B06B1" w:rsidRPr="009B06B1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</w:p>
    <w:p w14:paraId="11C80EA5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Cambios en el porcentaje de depreciación y amortización y en el valor de los activ</w:t>
      </w:r>
      <w:r>
        <w:rPr>
          <w:rFonts w:asciiTheme="minorHAnsi" w:hAnsiTheme="minorHAnsi" w:cs="Calibri"/>
        </w:rPr>
        <w:t>os ocasionado por deterioro:</w:t>
      </w:r>
    </w:p>
    <w:p w14:paraId="139BE9B4" w14:textId="77777777" w:rsid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SE LLEVA A CABO</w:t>
      </w:r>
    </w:p>
    <w:p w14:paraId="1EA304A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EF78311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c)</w:t>
      </w:r>
      <w:r>
        <w:rPr>
          <w:rFonts w:asciiTheme="minorHAnsi" w:hAnsiTheme="minorHAnsi" w:cs="Calibri"/>
        </w:rPr>
        <w:t xml:space="preserve"> Importe de los gastos capitalizados en el ejercicio, tanto financieros como de investigación y desarrollo:</w:t>
      </w:r>
    </w:p>
    <w:p w14:paraId="53492371" w14:textId="27056C76" w:rsidR="006665B2" w:rsidRPr="009B06B1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NADA QUE MANIFESTAR</w:t>
      </w:r>
    </w:p>
    <w:p w14:paraId="37E184E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lastRenderedPageBreak/>
        <w:t>d)</w:t>
      </w:r>
      <w:r>
        <w:rPr>
          <w:rFonts w:asciiTheme="minorHAnsi" w:hAnsiTheme="minorHAnsi" w:cs="Calibri"/>
        </w:rPr>
        <w:t xml:space="preserve"> Riesgos por tipo de cambio o tipo de interés de las inversiones financieras:</w:t>
      </w:r>
    </w:p>
    <w:p w14:paraId="61B4B6D5" w14:textId="1FFCC6C9" w:rsidR="006665B2" w:rsidRPr="009B06B1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6CD70190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F63D8A4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e) </w:t>
      </w:r>
      <w:r>
        <w:rPr>
          <w:rFonts w:asciiTheme="minorHAnsi" w:hAnsiTheme="minorHAnsi" w:cs="Calibri"/>
        </w:rPr>
        <w:t>Valor activado en el ejercicio de los bienes construidos por la entidad:</w:t>
      </w:r>
    </w:p>
    <w:p w14:paraId="1E42BF07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76C92DA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1EEA79C1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f)</w:t>
      </w:r>
      <w:r>
        <w:rPr>
          <w:rFonts w:asciiTheme="minorHAnsi" w:hAnsiTheme="minorHAnsi" w:cs="Calibri"/>
        </w:rPr>
        <w:t xml:space="preserve"> Otras circunstancias de carácter significativo que afecten el activo, tales como bienes e</w:t>
      </w:r>
      <w:r>
        <w:rPr>
          <w:rFonts w:asciiTheme="minorHAnsi" w:hAnsiTheme="minorHAnsi" w:cs="Calibri"/>
        </w:rPr>
        <w:t>n garantía, señalados en embargos, litigios, títulos de inversiones entregados en garantías, baja significativa del valor de inversiones financieras, etc.:</w:t>
      </w:r>
    </w:p>
    <w:p w14:paraId="5463EB29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4FFC6E8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22857A8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g)</w:t>
      </w:r>
      <w:r>
        <w:rPr>
          <w:rFonts w:asciiTheme="minorHAnsi" w:hAnsiTheme="minorHAnsi" w:cs="Calibri"/>
        </w:rPr>
        <w:t xml:space="preserve"> Desmantelamiento de Activos, procedimientos, implicaciones, efectos contables:</w:t>
      </w:r>
    </w:p>
    <w:p w14:paraId="0D2514A3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1BC787D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0B39CFF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h)</w:t>
      </w:r>
      <w:r>
        <w:rPr>
          <w:rFonts w:asciiTheme="minorHAnsi" w:hAnsiTheme="minorHAnsi" w:cs="Calibri"/>
        </w:rPr>
        <w:t xml:space="preserve"> Admin</w:t>
      </w:r>
      <w:r>
        <w:rPr>
          <w:rFonts w:asciiTheme="minorHAnsi" w:hAnsiTheme="minorHAnsi" w:cs="Calibri"/>
        </w:rPr>
        <w:t>istración de activos; planeación con el objetivo de que el ente los utilice de manera más efectiva:</w:t>
      </w:r>
    </w:p>
    <w:p w14:paraId="6AD8B8B1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6F2D1435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F6D350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Adicionalmente, se deben incluir las explicaciones de las principales variaciones en el activo, en cuadros comparativos como sigue:</w:t>
      </w:r>
    </w:p>
    <w:p w14:paraId="0B975C08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8B24B43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a)</w:t>
      </w:r>
      <w:r>
        <w:rPr>
          <w:rFonts w:asciiTheme="minorHAnsi" w:hAnsiTheme="minorHAnsi" w:cs="Calibri"/>
        </w:rPr>
        <w:t xml:space="preserve"> Inversiones en </w:t>
      </w:r>
      <w:r>
        <w:rPr>
          <w:rFonts w:asciiTheme="minorHAnsi" w:hAnsiTheme="minorHAnsi" w:cs="Calibri"/>
        </w:rPr>
        <w:t>valores:</w:t>
      </w:r>
    </w:p>
    <w:p w14:paraId="241F91EB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05A64A3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779A466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Patrimonio de Organismos Descentralizados de Control Presupuestario Indirecto:</w:t>
      </w:r>
    </w:p>
    <w:p w14:paraId="57E051ED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7E28316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6FC059F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c)</w:t>
      </w:r>
      <w:r>
        <w:rPr>
          <w:rFonts w:asciiTheme="minorHAnsi" w:hAnsiTheme="minorHAnsi" w:cs="Calibri"/>
        </w:rPr>
        <w:t xml:space="preserve"> Inversiones en empresas de participación mayoritaria:</w:t>
      </w:r>
    </w:p>
    <w:p w14:paraId="4FE67F21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1261CCD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CFC17C4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d)</w:t>
      </w:r>
      <w:r>
        <w:rPr>
          <w:rFonts w:asciiTheme="minorHAnsi" w:hAnsiTheme="minorHAnsi" w:cs="Calibri"/>
        </w:rPr>
        <w:t xml:space="preserve"> Inversiones en empresas de participación minoritaria:</w:t>
      </w:r>
    </w:p>
    <w:p w14:paraId="6E635788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75E3DA3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1387562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e)</w:t>
      </w:r>
      <w:r>
        <w:rPr>
          <w:rFonts w:asciiTheme="minorHAnsi" w:hAnsiTheme="minorHAnsi" w:cs="Calibri"/>
        </w:rPr>
        <w:t xml:space="preserve"> Patrimonio de Organismos Descentralizados de control Presupuestario Directo, según corresponda:</w:t>
      </w:r>
    </w:p>
    <w:p w14:paraId="430AB0B6" w14:textId="77777777" w:rsidR="009B06B1" w:rsidRPr="009B06B1" w:rsidRDefault="009B06B1" w:rsidP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b/>
          <w:bCs/>
        </w:rPr>
      </w:pPr>
      <w:r w:rsidRPr="009B06B1">
        <w:rPr>
          <w:rFonts w:asciiTheme="minorHAnsi" w:hAnsiTheme="minorHAnsi" w:cs="Calibri"/>
          <w:b/>
          <w:bCs/>
        </w:rPr>
        <w:t>NO APLICA</w:t>
      </w:r>
    </w:p>
    <w:p w14:paraId="39182380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E16B140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7" w:name="_Toc161472873"/>
      <w:r>
        <w:rPr>
          <w:rFonts w:asciiTheme="minorHAnsi" w:hAnsiTheme="minorHAnsi" w:cstheme="minorHAnsi"/>
          <w:b/>
          <w:color w:val="auto"/>
          <w:sz w:val="22"/>
          <w:szCs w:val="22"/>
        </w:rPr>
        <w:t>8. Fideicomisos, Mandatos y Análogos:</w:t>
      </w:r>
      <w:bookmarkEnd w:id="7"/>
    </w:p>
    <w:p w14:paraId="779AD696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A273FE4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deberá informar:</w:t>
      </w:r>
    </w:p>
    <w:p w14:paraId="1ECAC9F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4B41001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a)</w:t>
      </w:r>
      <w:r>
        <w:rPr>
          <w:rFonts w:asciiTheme="minorHAnsi" w:hAnsiTheme="minorHAnsi" w:cs="Calibri"/>
        </w:rPr>
        <w:t xml:space="preserve"> Por ramo administrativo que l</w:t>
      </w:r>
      <w:r>
        <w:rPr>
          <w:rFonts w:asciiTheme="minorHAnsi" w:hAnsiTheme="minorHAnsi" w:cs="Calibri"/>
        </w:rPr>
        <w:t>os reporta:</w:t>
      </w:r>
    </w:p>
    <w:p w14:paraId="6AD6E46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10649A5" w14:textId="77777777" w:rsidR="006665B2" w:rsidRDefault="009B06B1">
      <w:pPr>
        <w:tabs>
          <w:tab w:val="left" w:leader="underscore" w:pos="9639"/>
        </w:tabs>
        <w:spacing w:after="0" w:line="240" w:lineRule="auto"/>
        <w:ind w:firstLineChars="150" w:firstLine="33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  <w:iCs/>
        </w:rPr>
        <w:t>No aplica</w:t>
      </w:r>
      <w:r>
        <w:rPr>
          <w:rFonts w:asciiTheme="minorHAnsi" w:hAnsiTheme="minorHAnsi" w:cs="Calibri"/>
        </w:rPr>
        <w:t xml:space="preserve"> </w:t>
      </w:r>
    </w:p>
    <w:p w14:paraId="7944182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460835D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Enlistar los de mayor monto de disponibilidad, relacionando aquéllos que conforman el 80% de las disponibilidades:</w:t>
      </w:r>
    </w:p>
    <w:p w14:paraId="459C5AE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A5935A1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</w:t>
      </w:r>
      <w:r>
        <w:rPr>
          <w:rFonts w:asciiTheme="minorHAnsi" w:hAnsiTheme="minorHAnsi" w:cs="Calibri"/>
          <w:i/>
          <w:iCs/>
        </w:rPr>
        <w:t>No aplica</w:t>
      </w:r>
      <w:r>
        <w:rPr>
          <w:rFonts w:asciiTheme="minorHAnsi" w:hAnsiTheme="minorHAnsi" w:cs="Calibri"/>
        </w:rPr>
        <w:t xml:space="preserve"> </w:t>
      </w:r>
    </w:p>
    <w:p w14:paraId="6B6B1AC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6F04F52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8" w:name="_Toc161472874"/>
      <w:r>
        <w:rPr>
          <w:rFonts w:asciiTheme="minorHAnsi" w:hAnsiTheme="minorHAnsi" w:cstheme="minorHAnsi"/>
          <w:b/>
          <w:color w:val="auto"/>
          <w:sz w:val="22"/>
          <w:szCs w:val="22"/>
        </w:rPr>
        <w:t>9. Reporte de la Recaudación:</w:t>
      </w:r>
      <w:bookmarkEnd w:id="8"/>
    </w:p>
    <w:p w14:paraId="4C1FA14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47B0C3D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a)</w:t>
      </w:r>
      <w:r>
        <w:rPr>
          <w:rFonts w:asciiTheme="minorHAnsi" w:hAnsiTheme="minorHAnsi" w:cs="Calibri"/>
        </w:rPr>
        <w:t xml:space="preserve"> Análisis del comportamiento de la recaudación correspondiente al ente público o cualqu</w:t>
      </w:r>
      <w:r>
        <w:rPr>
          <w:rFonts w:asciiTheme="minorHAnsi" w:hAnsiTheme="minorHAnsi" w:cs="Calibri"/>
        </w:rPr>
        <w:t>ier tipo de ingreso, de forma separada los ingresos locales de los federales:</w:t>
      </w:r>
    </w:p>
    <w:p w14:paraId="2F916C2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8EE2472" w14:textId="77777777" w:rsidR="006665B2" w:rsidRDefault="009B06B1">
      <w:pPr>
        <w:tabs>
          <w:tab w:val="left" w:pos="7920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i/>
          <w:iCs/>
        </w:rPr>
        <w:t>Lo que se espera recaudar durante el año 202</w:t>
      </w:r>
      <w:r>
        <w:rPr>
          <w:rFonts w:asciiTheme="minorHAnsi" w:hAnsiTheme="minorHAnsi" w:cs="Arial"/>
          <w:i/>
          <w:iCs/>
        </w:rPr>
        <w:t>4</w:t>
      </w:r>
      <w:r>
        <w:rPr>
          <w:rFonts w:asciiTheme="minorHAnsi" w:hAnsiTheme="minorHAnsi" w:cs="Arial"/>
          <w:i/>
          <w:iCs/>
        </w:rPr>
        <w:t>, es la cantidad de $</w:t>
      </w:r>
      <w:r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>5,176,349.18</w:t>
      </w:r>
      <w:r>
        <w:rPr>
          <w:rFonts w:asciiTheme="minorHAnsi" w:hAnsiTheme="minorHAnsi" w:cs="Arial"/>
          <w:i/>
          <w:iCs/>
        </w:rPr>
        <w:t xml:space="preserve"> pesos</w:t>
      </w:r>
      <w:r>
        <w:rPr>
          <w:rFonts w:asciiTheme="minorHAnsi" w:hAnsiTheme="minorHAnsi" w:cs="Arial"/>
          <w:i/>
          <w:iCs/>
        </w:rPr>
        <w:t xml:space="preserve"> ingresos locales</w:t>
      </w:r>
      <w:r>
        <w:rPr>
          <w:rFonts w:asciiTheme="minorHAnsi" w:hAnsiTheme="minorHAnsi" w:cs="Arial"/>
          <w:i/>
          <w:iCs/>
        </w:rPr>
        <w:t>, de tal manera que con esta cantidad el organismo pueda brindar un mejor s</w:t>
      </w:r>
      <w:r>
        <w:rPr>
          <w:rFonts w:asciiTheme="minorHAnsi" w:hAnsiTheme="minorHAnsi" w:cs="Arial"/>
          <w:i/>
          <w:iCs/>
        </w:rPr>
        <w:t>ervicio.</w:t>
      </w:r>
    </w:p>
    <w:p w14:paraId="62F93048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CBE3890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Proyección de la recaudación e ingresos en el mediano plazo:</w:t>
      </w:r>
    </w:p>
    <w:p w14:paraId="788CB03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8505DBB" w14:textId="77777777" w:rsidR="006665B2" w:rsidRDefault="009B06B1">
      <w:pPr>
        <w:tabs>
          <w:tab w:val="left" w:pos="7920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i/>
          <w:iCs/>
        </w:rPr>
        <w:t xml:space="preserve">Lo que se espera recaudar </w:t>
      </w:r>
      <w:r>
        <w:rPr>
          <w:rFonts w:asciiTheme="minorHAnsi" w:hAnsiTheme="minorHAnsi" w:cs="Arial"/>
          <w:i/>
          <w:iCs/>
        </w:rPr>
        <w:t xml:space="preserve">a un mediano plazo </w:t>
      </w:r>
      <w:r>
        <w:rPr>
          <w:rFonts w:asciiTheme="minorHAnsi" w:hAnsiTheme="minorHAnsi" w:cs="Arial"/>
          <w:i/>
          <w:iCs/>
        </w:rPr>
        <w:t>durante el año 202</w:t>
      </w:r>
      <w:r>
        <w:rPr>
          <w:rFonts w:asciiTheme="minorHAnsi" w:hAnsiTheme="minorHAnsi" w:cs="Arial"/>
          <w:i/>
          <w:iCs/>
        </w:rPr>
        <w:t>4</w:t>
      </w:r>
      <w:r>
        <w:rPr>
          <w:rFonts w:asciiTheme="minorHAnsi" w:hAnsiTheme="minorHAnsi" w:cs="Arial"/>
          <w:i/>
          <w:iCs/>
        </w:rPr>
        <w:t>, es la cantidad de $</w:t>
      </w:r>
      <w:r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>2,588,174.59</w:t>
      </w:r>
      <w:r>
        <w:rPr>
          <w:rFonts w:asciiTheme="minorHAnsi" w:hAnsiTheme="minorHAnsi" w:cs="Arial"/>
          <w:i/>
          <w:iCs/>
        </w:rPr>
        <w:t xml:space="preserve"> pesos</w:t>
      </w:r>
      <w:r>
        <w:rPr>
          <w:rFonts w:asciiTheme="minorHAnsi" w:hAnsiTheme="minorHAnsi" w:cs="Arial"/>
          <w:i/>
          <w:iCs/>
        </w:rPr>
        <w:t xml:space="preserve"> ingresos locales.</w:t>
      </w:r>
    </w:p>
    <w:p w14:paraId="4E28BA9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B8BA6D3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9" w:name="_Toc161472875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10. Información sobre la Deuda y el Reporte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Analítico de la Deuda:</w:t>
      </w:r>
      <w:bookmarkEnd w:id="9"/>
    </w:p>
    <w:p w14:paraId="078BB051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4F7C7BB" w14:textId="77777777" w:rsidR="006665B2" w:rsidRDefault="009B06B1">
      <w:pPr>
        <w:numPr>
          <w:ilvl w:val="0"/>
          <w:numId w:val="6"/>
        </w:num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Utilizar al menos los siguientes indicadores: deuda respecto al PIB y deuda respecto a la recaudación tomando, como mínimo, un período igual o menor a 5 años.</w:t>
      </w:r>
    </w:p>
    <w:p w14:paraId="00B5FC2C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097D00A" w14:textId="77777777" w:rsidR="006665B2" w:rsidRDefault="009B06B1">
      <w:pPr>
        <w:tabs>
          <w:tab w:val="left" w:leader="underscore" w:pos="9639"/>
        </w:tabs>
        <w:spacing w:after="0" w:line="240" w:lineRule="auto"/>
        <w:ind w:firstLineChars="150" w:firstLine="330"/>
        <w:jc w:val="both"/>
        <w:rPr>
          <w:rFonts w:asciiTheme="minorHAnsi" w:hAnsiTheme="minorHAnsi" w:cs="Calibri"/>
          <w:i/>
          <w:iCs/>
        </w:rPr>
      </w:pPr>
      <w:r>
        <w:rPr>
          <w:rFonts w:asciiTheme="minorHAnsi" w:hAnsiTheme="minorHAnsi" w:cs="Calibri"/>
          <w:i/>
          <w:iCs/>
        </w:rPr>
        <w:t xml:space="preserve">No aplica </w:t>
      </w:r>
    </w:p>
    <w:p w14:paraId="3B150858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0EDEED0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Información de manera agrupada por tipo de valor gubernam</w:t>
      </w:r>
      <w:r>
        <w:rPr>
          <w:rFonts w:asciiTheme="minorHAnsi" w:hAnsiTheme="minorHAnsi" w:cs="Calibri"/>
        </w:rPr>
        <w:t>ental o instrumento financiero en la que se consideren intereses, comisiones, tasa, perfil de vencimiento y otros gastos de la deuda.</w:t>
      </w:r>
    </w:p>
    <w:p w14:paraId="32EF690C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 Se anexará la información en las notas de desglose.</w:t>
      </w:r>
    </w:p>
    <w:p w14:paraId="259DAFC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D6D248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</w:t>
      </w:r>
      <w:r>
        <w:rPr>
          <w:rFonts w:asciiTheme="minorHAnsi" w:hAnsiTheme="minorHAnsi" w:cs="Calibri"/>
          <w:i/>
          <w:iCs/>
        </w:rPr>
        <w:t xml:space="preserve">No aplica </w:t>
      </w:r>
    </w:p>
    <w:p w14:paraId="4F1F5AEF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0" w:name="_Toc161472876"/>
      <w:r>
        <w:rPr>
          <w:rFonts w:asciiTheme="minorHAnsi" w:hAnsiTheme="minorHAnsi" w:cstheme="minorHAnsi"/>
          <w:b/>
          <w:color w:val="auto"/>
          <w:sz w:val="22"/>
          <w:szCs w:val="22"/>
        </w:rPr>
        <w:t>11. Calificaciones otorgadas:</w:t>
      </w:r>
      <w:bookmarkEnd w:id="10"/>
    </w:p>
    <w:p w14:paraId="00F06163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0D4CF4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Informar, tanto de</w:t>
      </w:r>
      <w:r>
        <w:rPr>
          <w:rFonts w:asciiTheme="minorHAnsi" w:hAnsiTheme="minorHAnsi" w:cs="Calibri"/>
        </w:rPr>
        <w:t>l ente público como cualquier transacción realizada, que haya sido sujeta a una calificación crediticia:</w:t>
      </w:r>
    </w:p>
    <w:p w14:paraId="1F20DF77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B29A332" w14:textId="77777777" w:rsidR="006665B2" w:rsidRDefault="009B06B1">
      <w:pPr>
        <w:tabs>
          <w:tab w:val="left" w:leader="underscore" w:pos="9639"/>
        </w:tabs>
        <w:spacing w:after="0" w:line="240" w:lineRule="auto"/>
        <w:ind w:firstLineChars="150" w:firstLine="330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No aplica </w:t>
      </w:r>
    </w:p>
    <w:p w14:paraId="176697E3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5DD8BAC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1" w:name="_Toc161472877"/>
      <w:r>
        <w:rPr>
          <w:rFonts w:asciiTheme="minorHAnsi" w:hAnsiTheme="minorHAnsi" w:cstheme="minorHAnsi"/>
          <w:b/>
          <w:color w:val="auto"/>
          <w:sz w:val="22"/>
          <w:szCs w:val="22"/>
        </w:rPr>
        <w:t>12. Proceso de Mejora:</w:t>
      </w:r>
      <w:bookmarkEnd w:id="11"/>
    </w:p>
    <w:p w14:paraId="2F4425C5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469B9B3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informará de:</w:t>
      </w:r>
    </w:p>
    <w:p w14:paraId="4705FEA4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C06A1A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a)</w:t>
      </w:r>
      <w:r>
        <w:rPr>
          <w:rFonts w:asciiTheme="minorHAnsi" w:hAnsiTheme="minorHAnsi" w:cs="Calibri"/>
        </w:rPr>
        <w:t xml:space="preserve"> Principales Políticas de control interno:</w:t>
      </w:r>
    </w:p>
    <w:p w14:paraId="3574A03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63262CC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  <w:lang w:eastAsia="es-MX"/>
        </w:rPr>
        <w:t xml:space="preserve">Las decisiones que se tomen </w:t>
      </w:r>
      <w:r>
        <w:rPr>
          <w:rFonts w:asciiTheme="minorHAnsi" w:hAnsiTheme="minorHAnsi" w:cs="Arial"/>
          <w:i/>
          <w:iCs/>
          <w:lang w:eastAsia="es-MX"/>
        </w:rPr>
        <w:t>fortalecerán la administración y manejo de cuentas, solucionaran problemas inmediatos, para mejorar la calidad del servicio se impulsara a la innovación  y transformación de viejas prácticas que lejos de beneficiar provocaban un caos, hoy en día al fortale</w:t>
      </w:r>
      <w:r>
        <w:rPr>
          <w:rFonts w:asciiTheme="minorHAnsi" w:hAnsiTheme="minorHAnsi" w:cs="Arial"/>
          <w:i/>
          <w:iCs/>
          <w:lang w:eastAsia="es-MX"/>
        </w:rPr>
        <w:t xml:space="preserve">cer el  ambiente de trabajo, el organismo habrá de reunir a personas con diferentes características y formas de pensar lo que impulsara la eficiencia en la calidad ser servicio, la habilidad para identificar oportunidades de crecimiento, el planear </w:t>
      </w:r>
      <w:r>
        <w:rPr>
          <w:rFonts w:asciiTheme="minorHAnsi" w:hAnsiTheme="minorHAnsi" w:cs="Arial"/>
          <w:i/>
          <w:iCs/>
          <w:lang w:eastAsia="es-MX"/>
        </w:rPr>
        <w:lastRenderedPageBreak/>
        <w:t xml:space="preserve">nuevas </w:t>
      </w:r>
      <w:r>
        <w:rPr>
          <w:rFonts w:asciiTheme="minorHAnsi" w:hAnsiTheme="minorHAnsi" w:cs="Arial"/>
          <w:i/>
          <w:iCs/>
          <w:lang w:eastAsia="es-MX"/>
        </w:rPr>
        <w:t>metas y estrategias a fin de corresponder con las demandas de los usuarios para mantener el compromiso de crecimiento.</w:t>
      </w:r>
    </w:p>
    <w:p w14:paraId="660514A2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BF5739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b)</w:t>
      </w:r>
      <w:r>
        <w:rPr>
          <w:rFonts w:asciiTheme="minorHAnsi" w:hAnsiTheme="minorHAnsi" w:cs="Calibri"/>
        </w:rPr>
        <w:t xml:space="preserve"> Medidas de desempeño financiero, metas y alcance:</w:t>
      </w:r>
    </w:p>
    <w:p w14:paraId="4260B23D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  <w:i/>
          <w:iCs/>
        </w:rPr>
      </w:pPr>
    </w:p>
    <w:p w14:paraId="12A2992B" w14:textId="77777777" w:rsidR="006665B2" w:rsidRDefault="009B06B1">
      <w:pPr>
        <w:numPr>
          <w:ilvl w:val="0"/>
          <w:numId w:val="7"/>
        </w:numPr>
        <w:tabs>
          <w:tab w:val="left" w:pos="5520"/>
        </w:tabs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Aprovechar el agua del túnel</w:t>
      </w:r>
    </w:p>
    <w:p w14:paraId="02DAB348" w14:textId="77777777" w:rsidR="006665B2" w:rsidRDefault="009B06B1">
      <w:pPr>
        <w:numPr>
          <w:ilvl w:val="0"/>
          <w:numId w:val="7"/>
        </w:numPr>
        <w:tabs>
          <w:tab w:val="left" w:pos="5520"/>
        </w:tabs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Remodelar la casa del agua potable, para que </w:t>
      </w:r>
      <w:r>
        <w:rPr>
          <w:rFonts w:asciiTheme="minorHAnsi" w:hAnsiTheme="minorHAnsi" w:cs="Arial"/>
          <w:i/>
          <w:iCs/>
        </w:rPr>
        <w:t>funcione como bodega.</w:t>
      </w:r>
    </w:p>
    <w:p w14:paraId="1B1C8E86" w14:textId="77777777" w:rsidR="006665B2" w:rsidRDefault="009B06B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Participación en el expo agua. </w:t>
      </w:r>
    </w:p>
    <w:p w14:paraId="31947B75" w14:textId="77777777" w:rsidR="006665B2" w:rsidRDefault="009B06B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Guardianes del agua en las comunidades.</w:t>
      </w:r>
    </w:p>
    <w:p w14:paraId="2850FAA4" w14:textId="77777777" w:rsidR="006665B2" w:rsidRDefault="009B06B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Actualización de reglamento </w:t>
      </w:r>
    </w:p>
    <w:p w14:paraId="45AC35D4" w14:textId="77777777" w:rsidR="006665B2" w:rsidRDefault="009B06B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Implementación de micro medición en comunidades c</w:t>
      </w:r>
      <w:r>
        <w:rPr>
          <w:rFonts w:asciiTheme="minorHAnsi" w:hAnsiTheme="minorHAnsi" w:cs="Arial"/>
          <w:i/>
          <w:iCs/>
        </w:rPr>
        <w:t>ruz de pastor</w:t>
      </w:r>
      <w:r>
        <w:rPr>
          <w:rFonts w:asciiTheme="minorHAnsi" w:hAnsiTheme="minorHAnsi" w:cs="Arial"/>
          <w:i/>
          <w:iCs/>
        </w:rPr>
        <w:t xml:space="preserve">, </w:t>
      </w:r>
      <w:r>
        <w:rPr>
          <w:rFonts w:asciiTheme="minorHAnsi" w:hAnsiTheme="minorHAnsi" w:cs="Arial"/>
          <w:i/>
          <w:iCs/>
        </w:rPr>
        <w:t xml:space="preserve">piedra </w:t>
      </w:r>
      <w:proofErr w:type="gramStart"/>
      <w:r>
        <w:rPr>
          <w:rFonts w:asciiTheme="minorHAnsi" w:hAnsiTheme="minorHAnsi" w:cs="Arial"/>
          <w:i/>
          <w:iCs/>
        </w:rPr>
        <w:t xml:space="preserve">larga </w:t>
      </w:r>
      <w:r>
        <w:rPr>
          <w:rFonts w:asciiTheme="minorHAnsi" w:hAnsiTheme="minorHAnsi" w:cs="Arial"/>
          <w:i/>
          <w:iCs/>
        </w:rPr>
        <w:t>,</w:t>
      </w:r>
      <w:proofErr w:type="gramEnd"/>
      <w:r>
        <w:rPr>
          <w:rFonts w:asciiTheme="minorHAnsi" w:hAnsiTheme="minorHAnsi" w:cs="Arial"/>
          <w:i/>
          <w:iCs/>
        </w:rPr>
        <w:t xml:space="preserve">  y </w:t>
      </w:r>
      <w:r>
        <w:rPr>
          <w:rFonts w:asciiTheme="minorHAnsi" w:hAnsiTheme="minorHAnsi" w:cs="Arial"/>
          <w:i/>
          <w:iCs/>
        </w:rPr>
        <w:t>loma bonita</w:t>
      </w:r>
      <w:r>
        <w:rPr>
          <w:rFonts w:asciiTheme="minorHAnsi" w:hAnsiTheme="minorHAnsi" w:cs="Arial"/>
          <w:i/>
          <w:iCs/>
        </w:rPr>
        <w:t xml:space="preserve"> en coordinación con la CEAG</w:t>
      </w:r>
    </w:p>
    <w:p w14:paraId="7A99CE18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98464E1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71EF6CF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2" w:name="_Toc161472878"/>
      <w:r>
        <w:rPr>
          <w:rFonts w:asciiTheme="minorHAnsi" w:hAnsiTheme="minorHAnsi" w:cstheme="minorHAnsi"/>
          <w:b/>
          <w:color w:val="auto"/>
          <w:sz w:val="22"/>
          <w:szCs w:val="22"/>
        </w:rPr>
        <w:t>13. Infor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mación por Segmentos:</w:t>
      </w:r>
      <w:bookmarkEnd w:id="12"/>
    </w:p>
    <w:p w14:paraId="29EF52C5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D4714CC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Cuando se considere necesario se podrá revelar la información financiera de manera segmentada debido a la diversidad de las actividades y operaciones que realizan los entes públicos, ya que la misma proporciona información acerca de </w:t>
      </w:r>
      <w:r>
        <w:rPr>
          <w:rFonts w:asciiTheme="minorHAnsi" w:hAnsiTheme="minorHAnsi" w:cs="Calibri"/>
        </w:rPr>
        <w:t xml:space="preserve">las diferentes actividades operativas en las cuales participa, de los productos o servicios que maneja, de las diferentes áreas geográficas, de los grupos homogéneos con el objetivo de entender el desempeño del ente, evaluar mejor los riesgos y beneficios </w:t>
      </w:r>
      <w:r>
        <w:rPr>
          <w:rFonts w:asciiTheme="minorHAnsi" w:hAnsiTheme="minorHAnsi" w:cs="Calibri"/>
        </w:rPr>
        <w:t>del mismo, y entenderlo como un todo y sus partes integrantes.</w:t>
      </w:r>
    </w:p>
    <w:p w14:paraId="0AF5D005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33A179A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Consecuentemente, esta información contribuye al análisis más preciso de la situación financiera, grados y fuentes de riesgo y crecimiento potencial de negocio.</w:t>
      </w:r>
    </w:p>
    <w:p w14:paraId="36A822DF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B4E9A21" w14:textId="77777777" w:rsidR="006665B2" w:rsidRDefault="009B06B1">
      <w:pPr>
        <w:tabs>
          <w:tab w:val="left" w:leader="underscore" w:pos="9639"/>
        </w:tabs>
        <w:spacing w:after="0" w:line="240" w:lineRule="auto"/>
        <w:ind w:firstLineChars="150" w:firstLine="330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No aplica </w:t>
      </w:r>
    </w:p>
    <w:p w14:paraId="417BCB04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3" w:name="_Toc161472879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14. Eventos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Posteriores al Cierre:</w:t>
      </w:r>
      <w:bookmarkEnd w:id="13"/>
    </w:p>
    <w:p w14:paraId="45282900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0B9C8F5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El ente público informará el efecto en sus estados financieros de aquellos hechos ocurridos en el período posterior al que informa, que proporcionan mayor evidencia sobre eventos que le afectan económicamente y que no se conocían a </w:t>
      </w:r>
      <w:r>
        <w:rPr>
          <w:rFonts w:asciiTheme="minorHAnsi" w:hAnsiTheme="minorHAnsi" w:cs="Calibri"/>
        </w:rPr>
        <w:t>la fecha de cierre.</w:t>
      </w:r>
      <w:r>
        <w:rPr>
          <w:rFonts w:asciiTheme="minorHAnsi" w:hAnsiTheme="minorHAnsi" w:cs="Calibri"/>
        </w:rPr>
        <w:cr/>
      </w:r>
    </w:p>
    <w:p w14:paraId="625F1E51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Nada que manifestar </w:t>
      </w:r>
    </w:p>
    <w:p w14:paraId="761AF5E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359392D" w14:textId="77777777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4" w:name="_Toc161472880"/>
      <w:r>
        <w:rPr>
          <w:rFonts w:asciiTheme="minorHAnsi" w:hAnsiTheme="minorHAnsi" w:cstheme="minorHAnsi"/>
          <w:b/>
          <w:color w:val="auto"/>
          <w:sz w:val="22"/>
          <w:szCs w:val="22"/>
        </w:rPr>
        <w:t>15. Partes Relacionadas:</w:t>
      </w:r>
      <w:bookmarkEnd w:id="14"/>
    </w:p>
    <w:p w14:paraId="10F3301E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C89AE49" w14:textId="77777777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 debe establecer por escrito que no existen partes relacionadas que pudieran ejercer influencia significativa sobre la toma de decisiones financieras y operativas:</w:t>
      </w:r>
    </w:p>
    <w:p w14:paraId="28F019FC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E21AEDE" w14:textId="77777777" w:rsidR="006665B2" w:rsidRDefault="009B06B1">
      <w:pPr>
        <w:tabs>
          <w:tab w:val="left" w:leader="underscore" w:pos="9639"/>
        </w:tabs>
        <w:spacing w:after="0" w:line="240" w:lineRule="auto"/>
        <w:ind w:firstLineChars="100" w:firstLine="220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No aplica </w:t>
      </w:r>
    </w:p>
    <w:p w14:paraId="0D3E37B8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6096577" w14:textId="77777777" w:rsidR="009B06B1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5" w:name="_Toc161472881"/>
    </w:p>
    <w:p w14:paraId="297F96F7" w14:textId="77777777" w:rsidR="009B06B1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6EC42BF" w14:textId="51865534" w:rsidR="006665B2" w:rsidRDefault="009B06B1">
      <w:pPr>
        <w:pStyle w:val="Ttulo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16.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Responsabilidad Sobre la Presentación Razonable de la Información Contable:</w:t>
      </w:r>
      <w:bookmarkEnd w:id="15"/>
    </w:p>
    <w:p w14:paraId="50C95601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6F53C2E" w14:textId="74DF19FC" w:rsidR="006665B2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“Bajo protesta de decir verdad declaramos que los Estados Financie</w:t>
      </w:r>
      <w:r>
        <w:rPr>
          <w:rFonts w:asciiTheme="minorHAnsi" w:hAnsiTheme="minorHAnsi" w:cs="Calibri"/>
        </w:rPr>
        <w:t>ros y sus notas, son razonablemente correctos y son responsabilidad del emisor”. Lo anterior, no será aplicable para la información contable consolidada.</w:t>
      </w:r>
    </w:p>
    <w:p w14:paraId="1912860F" w14:textId="77777777" w:rsidR="006665B2" w:rsidRDefault="006665B2">
      <w:pPr>
        <w:pBdr>
          <w:bottom w:val="single" w:sz="12" w:space="1" w:color="auto"/>
        </w:pBd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06D60EB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F2BD0D8" w14:textId="39D5FEE4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1A0383C" w14:textId="5A9A339B" w:rsidR="009B06B1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8BAAB08" w14:textId="77777777" w:rsidR="009B06B1" w:rsidRDefault="009B06B1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352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5"/>
      </w:tblGrid>
      <w:tr w:rsidR="006665B2" w14:paraId="2EE11D82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EF7AE28" w14:textId="77777777" w:rsidR="006665B2" w:rsidRDefault="009B06B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lang w:eastAsia="es-MX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0000"/>
                <w:lang w:eastAsia="es-MX"/>
              </w:rPr>
              <w:t>C. ARACELI PEREZ GRANADOS</w:t>
            </w:r>
          </w:p>
        </w:tc>
      </w:tr>
      <w:tr w:rsidR="006665B2" w14:paraId="6398663F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CA23" w14:textId="77777777" w:rsidR="006665B2" w:rsidRDefault="009B06B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i/>
                <w:iCs/>
                <w:color w:val="000000"/>
                <w:lang w:eastAsia="es-MX"/>
              </w:rPr>
            </w:pPr>
            <w:r>
              <w:rPr>
                <w:rFonts w:asciiTheme="minorHAnsi" w:eastAsia="Times New Roman" w:hAnsiTheme="minorHAnsi" w:cs="Tahoma"/>
                <w:i/>
                <w:iCs/>
                <w:color w:val="000000"/>
                <w:lang w:eastAsia="es-MX"/>
              </w:rPr>
              <w:t>PRESIDENTA MUNICIPAL</w:t>
            </w:r>
          </w:p>
        </w:tc>
      </w:tr>
      <w:tr w:rsidR="006665B2" w14:paraId="146F8400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6E4E" w14:textId="77777777" w:rsidR="006665B2" w:rsidRDefault="006665B2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i/>
                <w:iCs/>
                <w:color w:val="000000"/>
                <w:lang w:eastAsia="es-MX"/>
              </w:rPr>
            </w:pPr>
          </w:p>
        </w:tc>
      </w:tr>
      <w:tr w:rsidR="006665B2" w14:paraId="2D9B81A2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7A96D" w14:textId="77777777" w:rsidR="006665B2" w:rsidRDefault="006665B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es-MX"/>
              </w:rPr>
            </w:pPr>
          </w:p>
        </w:tc>
      </w:tr>
      <w:tr w:rsidR="006665B2" w14:paraId="5218F641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DED2" w14:textId="77777777" w:rsidR="006665B2" w:rsidRDefault="006665B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es-MX"/>
              </w:rPr>
            </w:pPr>
          </w:p>
        </w:tc>
      </w:tr>
      <w:tr w:rsidR="006665B2" w14:paraId="3B5E6485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22ABFEE5" w14:textId="77777777" w:rsidR="006665B2" w:rsidRDefault="009B06B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lang w:eastAsia="es-MX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0000"/>
                <w:lang w:eastAsia="es-MX"/>
              </w:rPr>
              <w:t>L.P. JAVIER PARRALES GARDUÑO</w:t>
            </w:r>
          </w:p>
        </w:tc>
      </w:tr>
      <w:tr w:rsidR="006665B2" w14:paraId="3977206A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072D" w14:textId="77777777" w:rsidR="006665B2" w:rsidRDefault="009B06B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i/>
                <w:iCs/>
                <w:color w:val="000000"/>
                <w:lang w:eastAsia="es-MX"/>
              </w:rPr>
            </w:pPr>
            <w:r>
              <w:rPr>
                <w:rFonts w:asciiTheme="minorHAnsi" w:eastAsia="Times New Roman" w:hAnsiTheme="minorHAnsi" w:cs="Tahoma"/>
                <w:i/>
                <w:iCs/>
                <w:color w:val="000000"/>
                <w:lang w:eastAsia="es-MX"/>
              </w:rPr>
              <w:t>COMISIONADO DE HACIENDA</w:t>
            </w:r>
          </w:p>
        </w:tc>
      </w:tr>
      <w:tr w:rsidR="006665B2" w14:paraId="29FC4F9C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5EE5" w14:textId="77777777" w:rsidR="006665B2" w:rsidRDefault="006665B2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i/>
                <w:iCs/>
                <w:color w:val="000000"/>
                <w:lang w:eastAsia="es-MX"/>
              </w:rPr>
            </w:pPr>
          </w:p>
        </w:tc>
      </w:tr>
      <w:tr w:rsidR="006665B2" w14:paraId="0281383D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6D409" w14:textId="77777777" w:rsidR="006665B2" w:rsidRDefault="006665B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es-MX"/>
              </w:rPr>
            </w:pPr>
          </w:p>
        </w:tc>
      </w:tr>
      <w:tr w:rsidR="006665B2" w14:paraId="52FCB238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71CE8" w14:textId="77777777" w:rsidR="006665B2" w:rsidRDefault="006665B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es-MX"/>
              </w:rPr>
            </w:pPr>
          </w:p>
        </w:tc>
      </w:tr>
      <w:tr w:rsidR="006665B2" w14:paraId="215DA764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34DF931" w14:textId="77777777" w:rsidR="006665B2" w:rsidRDefault="009B06B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lang w:eastAsia="es-MX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0000"/>
                <w:lang w:eastAsia="es-MX"/>
              </w:rPr>
              <w:t>LIC. ELIZABETH CORREA ESTRADA</w:t>
            </w:r>
          </w:p>
        </w:tc>
      </w:tr>
      <w:tr w:rsidR="006665B2" w14:paraId="037F9A8D" w14:textId="77777777">
        <w:trPr>
          <w:trHeight w:val="300"/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B71F5" w14:textId="77777777" w:rsidR="006665B2" w:rsidRDefault="009B06B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i/>
                <w:iCs/>
                <w:color w:val="000000"/>
                <w:lang w:eastAsia="es-MX"/>
              </w:rPr>
            </w:pPr>
            <w:r>
              <w:rPr>
                <w:rFonts w:asciiTheme="minorHAnsi" w:eastAsia="Times New Roman" w:hAnsiTheme="minorHAnsi" w:cs="Tahoma"/>
                <w:i/>
                <w:iCs/>
                <w:color w:val="000000"/>
                <w:lang w:eastAsia="es-MX"/>
              </w:rPr>
              <w:t xml:space="preserve">    DIRECTORA DE LA JUMAPASC</w:t>
            </w:r>
          </w:p>
        </w:tc>
      </w:tr>
    </w:tbl>
    <w:p w14:paraId="5158BED5" w14:textId="77777777" w:rsidR="006665B2" w:rsidRDefault="006665B2">
      <w:pPr>
        <w:tabs>
          <w:tab w:val="left" w:leader="underscore" w:pos="9639"/>
        </w:tabs>
        <w:spacing w:after="0" w:line="240" w:lineRule="auto"/>
        <w:jc w:val="both"/>
        <w:rPr>
          <w:rFonts w:asciiTheme="minorHAnsi" w:hAnsiTheme="minorHAnsi" w:cs="Calibri"/>
        </w:rPr>
      </w:pPr>
    </w:p>
    <w:sectPr w:rsidR="006665B2">
      <w:headerReference w:type="default" r:id="rId13"/>
      <w:footerReference w:type="default" r:id="rId14"/>
      <w:pgSz w:w="12240" w:h="15840"/>
      <w:pgMar w:top="1418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D5AB" w14:textId="77777777" w:rsidR="006665B2" w:rsidRDefault="009B06B1">
      <w:pPr>
        <w:spacing w:line="240" w:lineRule="auto"/>
      </w:pPr>
      <w:r>
        <w:separator/>
      </w:r>
    </w:p>
  </w:endnote>
  <w:endnote w:type="continuationSeparator" w:id="0">
    <w:p w14:paraId="71744260" w14:textId="77777777" w:rsidR="006665B2" w:rsidRDefault="009B0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267310"/>
      <w:docPartObj>
        <w:docPartGallery w:val="AutoText"/>
      </w:docPartObj>
    </w:sdtPr>
    <w:sdtEndPr/>
    <w:sdtContent>
      <w:p w14:paraId="53E25B07" w14:textId="77777777" w:rsidR="006665B2" w:rsidRDefault="009B06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</w:p>
    </w:sdtContent>
  </w:sdt>
  <w:p w14:paraId="2DCAFCE0" w14:textId="77777777" w:rsidR="006665B2" w:rsidRDefault="006665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0FCF" w14:textId="77777777" w:rsidR="006665B2" w:rsidRDefault="009B06B1">
      <w:pPr>
        <w:spacing w:after="0"/>
      </w:pPr>
      <w:r>
        <w:separator/>
      </w:r>
    </w:p>
  </w:footnote>
  <w:footnote w:type="continuationSeparator" w:id="0">
    <w:p w14:paraId="2D2FEB8B" w14:textId="77777777" w:rsidR="006665B2" w:rsidRDefault="009B06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9CFD" w14:textId="77777777" w:rsidR="006665B2" w:rsidRDefault="009B06B1">
    <w:pPr>
      <w:pStyle w:val="Encabezado"/>
      <w:spacing w:after="0" w:line="240" w:lineRule="auto"/>
      <w:jc w:val="center"/>
    </w:pPr>
    <w:r>
      <w:t xml:space="preserve">JUNTA MUNICIPAL DE AGUA POTABLE ALCANTARILLADO Y SANEAMIENTO DE CORONEO GTO </w:t>
    </w:r>
  </w:p>
  <w:p w14:paraId="5AB24D35" w14:textId="77777777" w:rsidR="006665B2" w:rsidRDefault="009B06B1">
    <w:pPr>
      <w:pStyle w:val="Encabezado"/>
      <w:spacing w:after="0" w:line="240" w:lineRule="auto"/>
      <w:jc w:val="center"/>
    </w:pPr>
    <w:r>
      <w:t>CORRESPONDIENTES AL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255D3"/>
    <w:multiLevelType w:val="singleLevel"/>
    <w:tmpl w:val="879255D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8DA7E01"/>
    <w:multiLevelType w:val="singleLevel"/>
    <w:tmpl w:val="98DA7E01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FF50721A"/>
    <w:multiLevelType w:val="singleLevel"/>
    <w:tmpl w:val="FF50721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46712793"/>
    <w:multiLevelType w:val="multilevel"/>
    <w:tmpl w:val="467127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A246B"/>
    <w:multiLevelType w:val="multilevel"/>
    <w:tmpl w:val="572A246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C7BF8"/>
    <w:multiLevelType w:val="multilevel"/>
    <w:tmpl w:val="61DC7B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B394"/>
    <w:multiLevelType w:val="singleLevel"/>
    <w:tmpl w:val="6FF9B394"/>
    <w:lvl w:ilvl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310EF"/>
    <w:rsid w:val="00040D4F"/>
    <w:rsid w:val="00084EAE"/>
    <w:rsid w:val="00091CE6"/>
    <w:rsid w:val="000B7810"/>
    <w:rsid w:val="000C3365"/>
    <w:rsid w:val="00106EE9"/>
    <w:rsid w:val="0012405A"/>
    <w:rsid w:val="0012493A"/>
    <w:rsid w:val="00154BA3"/>
    <w:rsid w:val="001973A2"/>
    <w:rsid w:val="001B7919"/>
    <w:rsid w:val="001C34BC"/>
    <w:rsid w:val="001C710C"/>
    <w:rsid w:val="001C75F2"/>
    <w:rsid w:val="001D2063"/>
    <w:rsid w:val="001D43E9"/>
    <w:rsid w:val="00231FBE"/>
    <w:rsid w:val="00232175"/>
    <w:rsid w:val="0024740E"/>
    <w:rsid w:val="002722DD"/>
    <w:rsid w:val="00295B72"/>
    <w:rsid w:val="003453CA"/>
    <w:rsid w:val="00396D53"/>
    <w:rsid w:val="003E6C64"/>
    <w:rsid w:val="0043078C"/>
    <w:rsid w:val="00435A87"/>
    <w:rsid w:val="004A1077"/>
    <w:rsid w:val="004A58C8"/>
    <w:rsid w:val="004F234D"/>
    <w:rsid w:val="004F6FAC"/>
    <w:rsid w:val="005053EE"/>
    <w:rsid w:val="00516100"/>
    <w:rsid w:val="00516A8F"/>
    <w:rsid w:val="00540261"/>
    <w:rsid w:val="0054701E"/>
    <w:rsid w:val="005B5531"/>
    <w:rsid w:val="005D3E43"/>
    <w:rsid w:val="005E231E"/>
    <w:rsid w:val="005F2900"/>
    <w:rsid w:val="005F51CC"/>
    <w:rsid w:val="0064059E"/>
    <w:rsid w:val="00657009"/>
    <w:rsid w:val="006665B2"/>
    <w:rsid w:val="00681C79"/>
    <w:rsid w:val="006B1ADF"/>
    <w:rsid w:val="006F0687"/>
    <w:rsid w:val="006F77A8"/>
    <w:rsid w:val="007610BC"/>
    <w:rsid w:val="007714AB"/>
    <w:rsid w:val="007D1E76"/>
    <w:rsid w:val="007D4484"/>
    <w:rsid w:val="007E38A2"/>
    <w:rsid w:val="007F699D"/>
    <w:rsid w:val="00806269"/>
    <w:rsid w:val="0086420E"/>
    <w:rsid w:val="0086459F"/>
    <w:rsid w:val="008C3BB8"/>
    <w:rsid w:val="008E076C"/>
    <w:rsid w:val="0092765C"/>
    <w:rsid w:val="00967DDA"/>
    <w:rsid w:val="009736CB"/>
    <w:rsid w:val="009B06B1"/>
    <w:rsid w:val="00A4610E"/>
    <w:rsid w:val="00A6346D"/>
    <w:rsid w:val="00A730E0"/>
    <w:rsid w:val="00AA2768"/>
    <w:rsid w:val="00AA41E5"/>
    <w:rsid w:val="00AB722B"/>
    <w:rsid w:val="00AE1F6A"/>
    <w:rsid w:val="00AF4375"/>
    <w:rsid w:val="00B073DE"/>
    <w:rsid w:val="00B6368B"/>
    <w:rsid w:val="00BA53FE"/>
    <w:rsid w:val="00BE02EB"/>
    <w:rsid w:val="00C4250B"/>
    <w:rsid w:val="00C4625D"/>
    <w:rsid w:val="00C54C12"/>
    <w:rsid w:val="00C93C67"/>
    <w:rsid w:val="00C97E1E"/>
    <w:rsid w:val="00CB41C4"/>
    <w:rsid w:val="00CF1316"/>
    <w:rsid w:val="00D13C44"/>
    <w:rsid w:val="00D32331"/>
    <w:rsid w:val="00D40FC2"/>
    <w:rsid w:val="00D5018E"/>
    <w:rsid w:val="00D546B2"/>
    <w:rsid w:val="00D975B1"/>
    <w:rsid w:val="00DD018C"/>
    <w:rsid w:val="00E00323"/>
    <w:rsid w:val="00E11758"/>
    <w:rsid w:val="00E74967"/>
    <w:rsid w:val="00E7559F"/>
    <w:rsid w:val="00E85520"/>
    <w:rsid w:val="00E9132F"/>
    <w:rsid w:val="00EA37F5"/>
    <w:rsid w:val="00EA7915"/>
    <w:rsid w:val="00ED7AA0"/>
    <w:rsid w:val="00F067C8"/>
    <w:rsid w:val="00F43AC5"/>
    <w:rsid w:val="00F46719"/>
    <w:rsid w:val="00F54F6F"/>
    <w:rsid w:val="00F6102D"/>
    <w:rsid w:val="00F65A92"/>
    <w:rsid w:val="00F6759B"/>
    <w:rsid w:val="00FC1AE8"/>
    <w:rsid w:val="27D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329B"/>
  <w15:docId w15:val="{CFCC0B47-E37E-4BD2-90C3-D8F3863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B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autoRedefine/>
    <w:uiPriority w:val="99"/>
    <w:unhideWhenUsed/>
    <w:qFormat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spacing w:after="100"/>
      <w:ind w:left="220"/>
    </w:pPr>
  </w:style>
  <w:style w:type="paragraph" w:styleId="Textodeglobo">
    <w:name w:val="Balloon Text"/>
    <w:basedOn w:val="Normal"/>
    <w:link w:val="TextodegloboC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Normal"/>
    <w:link w:val="TtuloCar"/>
    <w:autoRedefine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EncabezadoCar">
    <w:name w:val="Encabezado Car"/>
    <w:link w:val="Encabezado"/>
    <w:autoRedefine/>
    <w:uiPriority w:val="99"/>
    <w:qFormat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autoRedefine/>
    <w:uiPriority w:val="99"/>
    <w:qFormat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autoRedefine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TtuloCar">
    <w:name w:val="Título Car"/>
    <w:basedOn w:val="Fuentedeprrafopredeter"/>
    <w:link w:val="Ttulo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2Car">
    <w:name w:val="Título 2 Car"/>
    <w:basedOn w:val="Fuentedeprrafopredeter"/>
    <w:link w:val="Ttulo2"/>
    <w:autoRedefine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autoRedefine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TtuloTDC1">
    <w:name w:val="Título TDC1"/>
    <w:basedOn w:val="Ttulo1"/>
    <w:next w:val="Normal"/>
    <w:autoRedefine/>
    <w:uiPriority w:val="39"/>
    <w:unhideWhenUsed/>
    <w:qFormat/>
    <w:pPr>
      <w:spacing w:line="259" w:lineRule="auto"/>
      <w:outlineLvl w:val="9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true</_x00bf_Formatomodificado_x003f_>
  </documentManagement>
</p:properties>
</file>

<file path=customXml/itemProps1.xml><?xml version="1.0" encoding="utf-8"?>
<ds:datastoreItem xmlns:ds="http://schemas.openxmlformats.org/officeDocument/2006/customXml" ds:itemID="{F602599E-C54E-40EB-B3BD-41B2F70A96F3}">
  <ds:schemaRefs/>
</ds:datastoreItem>
</file>

<file path=customXml/itemProps2.xml><?xml version="1.0" encoding="utf-8"?>
<ds:datastoreItem xmlns:ds="http://schemas.openxmlformats.org/officeDocument/2006/customXml" ds:itemID="{555B9485-7FE9-43F0-809A-30EC26A19B2C}">
  <ds:schemaRefs/>
</ds:datastoreItem>
</file>

<file path=customXml/itemProps3.xml><?xml version="1.0" encoding="utf-8"?>
<ds:datastoreItem xmlns:ds="http://schemas.openxmlformats.org/officeDocument/2006/customXml" ds:itemID="{5AD9A76F-91F0-43D2-8081-B4DC470C2F6F}">
  <ds:schemaRefs/>
</ds:datastoreItem>
</file>

<file path=customXml/itemProps4.xml><?xml version="1.0" encoding="utf-8"?>
<ds:datastoreItem xmlns:ds="http://schemas.openxmlformats.org/officeDocument/2006/customXml" ds:itemID="{E1CBD850-722C-4B0A-8EDE-7CABA60C70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2601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JUMAPASC CORONEO2018-2021</cp:lastModifiedBy>
  <cp:revision>2</cp:revision>
  <dcterms:created xsi:type="dcterms:W3CDTF">2024-04-26T04:39:00Z</dcterms:created>
  <dcterms:modified xsi:type="dcterms:W3CDTF">2024-04-26T04:39:00Z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  <property fmtid="{D5CDD505-2E9C-101B-9397-08002B2CF9AE}" pid="3" name="KSOProductBuildVer">
    <vt:lpwstr>2058-12.2.0.16731</vt:lpwstr>
  </property>
  <property fmtid="{D5CDD505-2E9C-101B-9397-08002B2CF9AE}" pid="4" name="ICV">
    <vt:lpwstr>FEEC3A3C7D804C59B903286A132FB867_12</vt:lpwstr>
  </property>
</Properties>
</file>